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EFCA0" w14:textId="77777777" w:rsidR="00D70A70" w:rsidRPr="00974E2E" w:rsidRDefault="00000000">
      <w:pPr>
        <w:pStyle w:val="berschrift1"/>
        <w:numPr>
          <w:ilvl w:val="0"/>
          <w:numId w:val="1"/>
        </w:numPr>
        <w:rPr>
          <w:lang w:val="en-GB"/>
        </w:rPr>
      </w:pPr>
      <w:r w:rsidRPr="00974E2E">
        <w:rPr>
          <w:lang w:val="en-GB"/>
        </w:rPr>
        <w:t>2. In Dominicis ad Aspersionem Aquae Benedictae: Asperges me, Domine (ii) (SC P 2)</w:t>
      </w:r>
    </w:p>
    <w:p w14:paraId="76459D75" w14:textId="77777777" w:rsidR="00D70A70" w:rsidRPr="00974E2E" w:rsidRDefault="00000000">
      <w:pPr>
        <w:pStyle w:val="berschrift2"/>
        <w:numPr>
          <w:ilvl w:val="1"/>
          <w:numId w:val="1"/>
        </w:numPr>
        <w:rPr>
          <w:lang w:val="en-GB"/>
        </w:rPr>
      </w:pPr>
      <w:r w:rsidRPr="00974E2E">
        <w:t>Text</w:t>
      </w:r>
    </w:p>
    <w:p w14:paraId="67B6965A" w14:textId="0BBA078B" w:rsidR="00D70A70" w:rsidRPr="00974E2E" w:rsidRDefault="00974E2E" w:rsidP="00974E2E">
      <w:pPr>
        <w:pStyle w:val="StandardWeb"/>
        <w:numPr>
          <w:ilvl w:val="0"/>
          <w:numId w:val="1"/>
        </w:numPr>
        <w:shd w:val="clear" w:color="auto" w:fill="FFFFFF"/>
        <w:rPr>
          <w:rFonts w:ascii="Adobe Garamond Pro" w:hAnsi="Adobe Garamond Pro"/>
          <w:sz w:val="22"/>
          <w:szCs w:val="22"/>
          <w:lang w:val="en-US"/>
        </w:rPr>
      </w:pPr>
      <w:r w:rsidRPr="00974E2E">
        <w:rPr>
          <w:rFonts w:ascii="Adobe Garamond Pro" w:hAnsi="Adobe Garamond Pro"/>
          <w:sz w:val="22"/>
          <w:szCs w:val="22"/>
          <w:lang w:val="en-US"/>
        </w:rPr>
        <w:t xml:space="preserve">For information on the text and its translation, see above, no. 1. </w:t>
      </w:r>
      <w:r w:rsidRPr="00974E2E">
        <w:rPr>
          <w:rFonts w:ascii="Adobe Garamond Pro" w:hAnsi="Adobe Garamond Pro"/>
          <w:sz w:val="22"/>
          <w:szCs w:val="22"/>
          <w:lang w:val="en-GB"/>
        </w:rPr>
        <w:t xml:space="preserve">Unlike the </w:t>
      </w:r>
      <w:r w:rsidRPr="00974E2E">
        <w:rPr>
          <w:rFonts w:ascii="Adobe Garamond Pro" w:hAnsi="Adobe Garamond Pro"/>
          <w:i/>
          <w:iCs/>
          <w:sz w:val="22"/>
          <w:szCs w:val="22"/>
          <w:lang w:val="en-GB"/>
        </w:rPr>
        <w:t xml:space="preserve">Asperges me </w:t>
      </w:r>
      <w:r w:rsidRPr="00974E2E">
        <w:rPr>
          <w:rFonts w:ascii="Adobe Garamond Pro" w:hAnsi="Adobe Garamond Pro"/>
          <w:sz w:val="22"/>
          <w:szCs w:val="22"/>
          <w:lang w:val="en-GB"/>
        </w:rPr>
        <w:t>(i), th</w:t>
      </w:r>
      <w:r w:rsidR="00815F16">
        <w:rPr>
          <w:rFonts w:ascii="Adobe Garamond Pro" w:hAnsi="Adobe Garamond Pro"/>
          <w:sz w:val="22"/>
          <w:szCs w:val="22"/>
          <w:lang w:val="en-GB"/>
        </w:rPr>
        <w:t>e present composition</w:t>
      </w:r>
      <w:r w:rsidRPr="00974E2E">
        <w:rPr>
          <w:rFonts w:ascii="Adobe Garamond Pro" w:hAnsi="Adobe Garamond Pro"/>
          <w:sz w:val="22"/>
          <w:szCs w:val="22"/>
          <w:lang w:val="en-GB"/>
        </w:rPr>
        <w:t xml:space="preserve"> is not designed for alternatim performance</w:t>
      </w:r>
      <w:r w:rsidR="00815F16">
        <w:rPr>
          <w:rFonts w:ascii="Adobe Garamond Pro" w:hAnsi="Adobe Garamond Pro"/>
          <w:sz w:val="22"/>
          <w:szCs w:val="22"/>
          <w:lang w:val="en-GB"/>
        </w:rPr>
        <w:t>. A</w:t>
      </w:r>
      <w:r w:rsidRPr="00974E2E">
        <w:rPr>
          <w:rFonts w:ascii="Adobe Garamond Pro" w:hAnsi="Adobe Garamond Pro"/>
          <w:sz w:val="22"/>
          <w:szCs w:val="22"/>
          <w:lang w:val="en-GB"/>
        </w:rPr>
        <w:t>ll the text parts are set polyphonically. While P</w:t>
      </w:r>
      <w:r w:rsidR="00815F16">
        <w:rPr>
          <w:rFonts w:ascii="Adobe Garamond Pro" w:hAnsi="Adobe Garamond Pro"/>
          <w:sz w:val="22"/>
          <w:szCs w:val="22"/>
          <w:lang w:val="en-GB"/>
        </w:rPr>
        <w:t> </w:t>
      </w:r>
      <w:r w:rsidRPr="00974E2E">
        <w:rPr>
          <w:rFonts w:ascii="Adobe Garamond Pro" w:hAnsi="Adobe Garamond Pro"/>
          <w:sz w:val="22"/>
          <w:szCs w:val="22"/>
          <w:lang w:val="en-GB"/>
        </w:rPr>
        <w:t xml:space="preserve">1 and </w:t>
      </w:r>
      <w:r w:rsidRPr="00974E2E">
        <w:rPr>
          <w:rFonts w:ascii="Adobe Garamond Pro" w:hAnsi="Adobe Garamond Pro"/>
          <w:i/>
          <w:iCs/>
          <w:sz w:val="22"/>
          <w:szCs w:val="22"/>
          <w:lang w:val="en-GB"/>
        </w:rPr>
        <w:t xml:space="preserve">Asperges me </w:t>
      </w:r>
      <w:r w:rsidRPr="00974E2E">
        <w:rPr>
          <w:rFonts w:ascii="Adobe Garamond Pro" w:hAnsi="Adobe Garamond Pro"/>
          <w:sz w:val="22"/>
          <w:szCs w:val="22"/>
          <w:lang w:val="en-GB"/>
        </w:rPr>
        <w:t xml:space="preserve">(iii) (see this volume, no. 3) include a doxology, P 2 provides no polyphonic </w:t>
      </w:r>
      <w:r w:rsidRPr="00974E2E">
        <w:rPr>
          <w:rFonts w:ascii="Adobe Garamond Pro" w:hAnsi="Adobe Garamond Pro"/>
          <w:i/>
          <w:iCs/>
          <w:sz w:val="22"/>
          <w:szCs w:val="22"/>
          <w:lang w:val="en-GB"/>
        </w:rPr>
        <w:t>Gloria Patri</w:t>
      </w:r>
      <w:r w:rsidRPr="00974E2E">
        <w:rPr>
          <w:rFonts w:ascii="Adobe Garamond Pro" w:hAnsi="Adobe Garamond Pro"/>
          <w:sz w:val="22"/>
          <w:szCs w:val="22"/>
          <w:lang w:val="en-GB"/>
        </w:rPr>
        <w:t xml:space="preserve">, which </w:t>
      </w:r>
      <w:r w:rsidR="00815F16">
        <w:rPr>
          <w:rFonts w:ascii="Adobe Garamond Pro" w:hAnsi="Adobe Garamond Pro"/>
          <w:sz w:val="22"/>
          <w:szCs w:val="22"/>
          <w:lang w:val="en-GB"/>
        </w:rPr>
        <w:t xml:space="preserve">probably </w:t>
      </w:r>
      <w:r w:rsidRPr="00974E2E">
        <w:rPr>
          <w:rFonts w:ascii="Adobe Garamond Pro" w:hAnsi="Adobe Garamond Pro"/>
          <w:sz w:val="22"/>
          <w:szCs w:val="22"/>
          <w:lang w:val="en-GB"/>
        </w:rPr>
        <w:t>indicates a monophonic performance of this section.</w:t>
      </w:r>
    </w:p>
    <w:p w14:paraId="62B2D67B" w14:textId="77777777" w:rsidR="00D70A70" w:rsidRPr="00974E2E" w:rsidRDefault="00000000">
      <w:pPr>
        <w:pStyle w:val="berschrift2"/>
        <w:numPr>
          <w:ilvl w:val="1"/>
          <w:numId w:val="1"/>
        </w:numPr>
        <w:rPr>
          <w:lang w:val="en-GB"/>
        </w:rPr>
      </w:pPr>
      <w:r w:rsidRPr="00974E2E">
        <w:rPr>
          <w:lang w:val="en-GB"/>
        </w:rPr>
        <w:t>Cantus firmus</w:t>
      </w:r>
    </w:p>
    <w:p w14:paraId="01DB1A15" w14:textId="64C16D4E" w:rsidR="00D70A70" w:rsidRPr="00974E2E" w:rsidRDefault="00000000">
      <w:pPr>
        <w:pStyle w:val="Textkrper"/>
        <w:rPr>
          <w:sz w:val="21"/>
          <w:szCs w:val="21"/>
          <w:lang w:val="en-GB"/>
        </w:rPr>
      </w:pPr>
      <w:r w:rsidRPr="00974E2E">
        <w:rPr>
          <w:lang w:val="en-US"/>
        </w:rPr>
        <w:t>A monophonic version</w:t>
      </w:r>
      <w:r w:rsidR="00974E2E">
        <w:rPr>
          <w:lang w:val="en-US"/>
        </w:rPr>
        <w:t xml:space="preserve"> very close</w:t>
      </w:r>
      <w:r w:rsidRPr="00974E2E">
        <w:rPr>
          <w:lang w:val="en-US"/>
        </w:rPr>
        <w:t xml:space="preserve"> </w:t>
      </w:r>
      <w:r w:rsidR="00974E2E">
        <w:rPr>
          <w:lang w:val="en-US"/>
        </w:rPr>
        <w:t xml:space="preserve">to </w:t>
      </w:r>
      <w:r w:rsidRPr="00974E2E">
        <w:rPr>
          <w:lang w:val="en-US"/>
        </w:rPr>
        <w:t xml:space="preserve">Senfl’s bassus </w:t>
      </w:r>
      <w:r w:rsidR="00974E2E">
        <w:rPr>
          <w:lang w:val="en-US"/>
        </w:rPr>
        <w:t>is</w:t>
      </w:r>
      <w:r w:rsidRPr="00974E2E">
        <w:rPr>
          <w:lang w:val="en-US"/>
        </w:rPr>
        <w:t xml:space="preserve"> found in the </w:t>
      </w:r>
      <w:r w:rsidRPr="00974E2E">
        <w:rPr>
          <w:i/>
          <w:iCs/>
          <w:lang w:val="en-US"/>
        </w:rPr>
        <w:t>Responsoria noviter</w:t>
      </w:r>
      <w:r w:rsidRPr="00974E2E">
        <w:rPr>
          <w:lang w:val="en-US"/>
        </w:rPr>
        <w:t xml:space="preserve"> </w:t>
      </w:r>
      <w:r w:rsidRPr="00974E2E">
        <w:rPr>
          <w:i/>
          <w:iCs/>
          <w:lang w:val="en-US"/>
        </w:rPr>
        <w:t xml:space="preserve">impressa </w:t>
      </w:r>
      <w:r w:rsidRPr="00974E2E">
        <w:rPr>
          <w:lang w:val="en-US"/>
        </w:rPr>
        <w:t>(1509), fol</w:t>
      </w:r>
      <w:r w:rsidR="00974E2E">
        <w:rPr>
          <w:lang w:val="en-US"/>
        </w:rPr>
        <w:t>s</w:t>
      </w:r>
      <w:r w:rsidRPr="00974E2E">
        <w:rPr>
          <w:lang w:val="en-US"/>
        </w:rPr>
        <w:t>. 63</w:t>
      </w:r>
      <w:r w:rsidRPr="00974E2E">
        <w:rPr>
          <w:vertAlign w:val="superscript"/>
          <w:lang w:val="en-US"/>
        </w:rPr>
        <w:t>v</w:t>
      </w:r>
      <w:r w:rsidRPr="00974E2E">
        <w:rPr>
          <w:lang w:val="en-US"/>
        </w:rPr>
        <w:t>–64</w:t>
      </w:r>
      <w:r w:rsidRPr="00974E2E">
        <w:rPr>
          <w:vertAlign w:val="superscript"/>
          <w:lang w:val="en-US"/>
        </w:rPr>
        <w:t>r</w:t>
      </w:r>
      <w:r w:rsidRPr="00974E2E">
        <w:rPr>
          <w:lang w:val="en-US"/>
        </w:rPr>
        <w:t xml:space="preserve">. </w:t>
      </w:r>
      <w:r w:rsidR="00974E2E">
        <w:rPr>
          <w:lang w:val="en-US"/>
        </w:rPr>
        <w:t xml:space="preserve">However, </w:t>
      </w:r>
      <w:r w:rsidR="00974E2E" w:rsidRPr="00974E2E">
        <w:rPr>
          <w:lang w:val="en-US"/>
        </w:rPr>
        <w:t xml:space="preserve">the pitches of the monophonic version depart significantly </w:t>
      </w:r>
      <w:r w:rsidR="00974E2E">
        <w:rPr>
          <w:lang w:val="en-US"/>
        </w:rPr>
        <w:t xml:space="preserve">at </w:t>
      </w:r>
      <w:r w:rsidRPr="00974E2E">
        <w:rPr>
          <w:lang w:val="en-US"/>
        </w:rPr>
        <w:t xml:space="preserve">the text section ‘Miserere … misericordiam tuam’. While Senfl’s bassus </w:t>
      </w:r>
      <w:r w:rsidR="00974E2E">
        <w:rPr>
          <w:lang w:val="en-US"/>
        </w:rPr>
        <w:t>features</w:t>
      </w:r>
      <w:r w:rsidRPr="00974E2E">
        <w:rPr>
          <w:lang w:val="en-US"/>
        </w:rPr>
        <w:t xml:space="preserve"> an </w:t>
      </w:r>
      <w:r w:rsidRPr="00974E2E">
        <w:rPr>
          <w:i/>
          <w:iCs/>
          <w:lang w:val="en-US"/>
        </w:rPr>
        <w:t>e</w:t>
      </w:r>
      <w:r w:rsidRPr="00974E2E">
        <w:rPr>
          <w:lang w:val="en-US"/>
        </w:rPr>
        <w:t xml:space="preserve"> </w:t>
      </w:r>
      <w:r w:rsidR="00974E2E">
        <w:rPr>
          <w:lang w:val="en-US"/>
        </w:rPr>
        <w:t>at the beginning and at the end of the section</w:t>
      </w:r>
      <w:r w:rsidRPr="00974E2E">
        <w:rPr>
          <w:lang w:val="en-US"/>
        </w:rPr>
        <w:t xml:space="preserve">, the </w:t>
      </w:r>
      <w:r w:rsidR="00974E2E">
        <w:rPr>
          <w:lang w:val="en-US"/>
        </w:rPr>
        <w:t xml:space="preserve">version in the </w:t>
      </w:r>
      <w:r w:rsidR="00974E2E">
        <w:rPr>
          <w:i/>
          <w:iCs/>
          <w:lang w:val="en-US"/>
        </w:rPr>
        <w:t>Responsoria noviter</w:t>
      </w:r>
      <w:r w:rsidRPr="00974E2E">
        <w:rPr>
          <w:lang w:val="en-US"/>
        </w:rPr>
        <w:t xml:space="preserve"> starts on </w:t>
      </w:r>
      <w:r w:rsidRPr="00974E2E">
        <w:rPr>
          <w:i/>
          <w:iCs/>
          <w:lang w:val="en-US"/>
        </w:rPr>
        <w:t>a</w:t>
      </w:r>
      <w:r w:rsidRPr="00974E2E">
        <w:rPr>
          <w:lang w:val="en-US"/>
        </w:rPr>
        <w:t xml:space="preserve"> and closes on </w:t>
      </w:r>
      <w:r w:rsidRPr="00974E2E">
        <w:rPr>
          <w:i/>
          <w:iCs/>
          <w:lang w:val="en-US"/>
        </w:rPr>
        <w:t>d</w:t>
      </w:r>
      <w:r w:rsidRPr="00974E2E">
        <w:rPr>
          <w:lang w:val="en-US"/>
        </w:rPr>
        <w:t>.</w:t>
      </w:r>
    </w:p>
    <w:p w14:paraId="4D845299" w14:textId="77777777" w:rsidR="00D70A70" w:rsidRPr="00974E2E" w:rsidRDefault="00000000">
      <w:pPr>
        <w:pStyle w:val="berschrift2"/>
        <w:numPr>
          <w:ilvl w:val="1"/>
          <w:numId w:val="1"/>
        </w:numPr>
        <w:rPr>
          <w:lang w:val="en-GB"/>
        </w:rPr>
      </w:pPr>
      <w:r w:rsidRPr="00974E2E">
        <w:rPr>
          <w:lang w:val="en-GB"/>
        </w:rPr>
        <w:t>Unique Source</w:t>
      </w:r>
    </w:p>
    <w:tbl>
      <w:tblPr>
        <w:tblStyle w:val="Tabellenraster"/>
        <w:tblW w:w="8901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809"/>
        <w:gridCol w:w="8092"/>
      </w:tblGrid>
      <w:tr w:rsidR="00D70A70" w:rsidRPr="00974E2E" w14:paraId="2CF297B4" w14:textId="77777777"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68618F8C" w14:textId="77777777" w:rsidR="00D70A70" w:rsidRPr="00974E2E" w:rsidRDefault="00000000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 w:rsidRPr="00974E2E">
              <w:rPr>
                <w:b/>
                <w:szCs w:val="22"/>
                <w:lang w:val="en-GB"/>
              </w:rPr>
              <w:t>Mun</w:t>
            </w:r>
            <w:r w:rsidRPr="00974E2E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</w:tcPr>
          <w:p w14:paraId="01CCE825" w14:textId="010B31B4" w:rsidR="00D70A70" w:rsidRPr="00974E2E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974E2E">
              <w:rPr>
                <w:szCs w:val="22"/>
                <w:lang w:val="en-GB"/>
              </w:rPr>
              <w:t>D-Mbs Mus.ms. 25, [no. 5], fols. 59</w:t>
            </w:r>
            <w:r w:rsidRPr="00974E2E">
              <w:rPr>
                <w:szCs w:val="22"/>
                <w:vertAlign w:val="superscript"/>
                <w:lang w:val="en-GB"/>
              </w:rPr>
              <w:t>v</w:t>
            </w:r>
            <w:r w:rsidRPr="00974E2E">
              <w:rPr>
                <w:szCs w:val="22"/>
                <w:lang w:val="en-GB"/>
              </w:rPr>
              <w:t>–62</w:t>
            </w:r>
            <w:r w:rsidRPr="00974E2E">
              <w:rPr>
                <w:szCs w:val="22"/>
                <w:vertAlign w:val="superscript"/>
                <w:lang w:val="en-GB"/>
              </w:rPr>
              <w:t>v</w:t>
            </w:r>
            <w:r w:rsidR="00974E2E" w:rsidRPr="00974E2E">
              <w:rPr>
                <w:szCs w:val="22"/>
                <w:lang w:val="en-GB"/>
              </w:rPr>
              <w:t xml:space="preserve"> (</w:t>
            </w:r>
            <w:r w:rsidR="00974E2E">
              <w:rPr>
                <w:szCs w:val="22"/>
                <w:lang w:val="en-GB"/>
              </w:rPr>
              <w:t>D, Ct, T, B</w:t>
            </w:r>
            <w:r w:rsidR="00974E2E" w:rsidRPr="00974E2E">
              <w:rPr>
                <w:szCs w:val="22"/>
                <w:lang w:val="en-GB"/>
              </w:rPr>
              <w:t>)</w:t>
            </w:r>
            <w:r w:rsidRPr="00974E2E">
              <w:rPr>
                <w:szCs w:val="22"/>
                <w:lang w:val="en-GB"/>
              </w:rPr>
              <w:t xml:space="preserve">, </w:t>
            </w:r>
            <w:r w:rsidRPr="00974E2E">
              <w:rPr>
                <w:i/>
                <w:iCs/>
                <w:szCs w:val="22"/>
                <w:lang w:val="en-GB"/>
              </w:rPr>
              <w:t>Lud: Sennfl.</w:t>
            </w:r>
            <w:r w:rsidRPr="00974E2E">
              <w:rPr>
                <w:szCs w:val="22"/>
                <w:lang w:val="en-GB"/>
              </w:rPr>
              <w:t>, text in all voices</w:t>
            </w:r>
          </w:p>
        </w:tc>
      </w:tr>
    </w:tbl>
    <w:p w14:paraId="6BCDB8E5" w14:textId="169FE0C1" w:rsidR="00D70A70" w:rsidRPr="00974E2E" w:rsidRDefault="00D70A70" w:rsidP="00815F16">
      <w:pPr>
        <w:pStyle w:val="Textkrper"/>
        <w:rPr>
          <w:lang w:val="en-US"/>
        </w:rPr>
      </w:pPr>
    </w:p>
    <w:sectPr w:rsidR="00D70A70" w:rsidRPr="00974E2E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A34B1"/>
    <w:multiLevelType w:val="multilevel"/>
    <w:tmpl w:val="52BC7E8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6684D40"/>
    <w:multiLevelType w:val="multilevel"/>
    <w:tmpl w:val="B9E4F9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31006A4"/>
    <w:multiLevelType w:val="multilevel"/>
    <w:tmpl w:val="D8B2DC0A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num w:numId="1" w16cid:durableId="304047762">
    <w:abstractNumId w:val="1"/>
  </w:num>
  <w:num w:numId="2" w16cid:durableId="1146093947">
    <w:abstractNumId w:val="2"/>
  </w:num>
  <w:num w:numId="3" w16cid:durableId="1583031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7"/>
  <w:defaultTabStop w:val="284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0A70"/>
    <w:rsid w:val="00815F16"/>
    <w:rsid w:val="00974E2E"/>
    <w:rsid w:val="00C7411F"/>
    <w:rsid w:val="00D7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CAA70B7"/>
  <w15:docId w15:val="{8C92972C-B195-FB46-AFB5-18507377A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4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5262B"/>
    <w:rPr>
      <w:sz w:val="24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basedOn w:val="Absatz-Standardschriftart"/>
    <w:link w:val="Kopfzeile"/>
    <w:uiPriority w:val="99"/>
    <w:qFormat/>
    <w:rsid w:val="003312CB"/>
  </w:style>
  <w:style w:type="character" w:customStyle="1" w:styleId="FuzeileZchn">
    <w:name w:val="Fußzeile Zchn"/>
    <w:basedOn w:val="Absatz-Standardschriftart"/>
    <w:link w:val="Fuzeile"/>
    <w:uiPriority w:val="99"/>
    <w:qFormat/>
    <w:rsid w:val="003312CB"/>
  </w:style>
  <w:style w:type="character" w:customStyle="1" w:styleId="FunotentextZchn">
    <w:name w:val="Fußnotentext Zchn"/>
    <w:basedOn w:val="Absatz-Standardschriftart"/>
    <w:link w:val="Funotentext"/>
    <w:uiPriority w:val="99"/>
    <w:semiHidden/>
    <w:qFormat/>
    <w:rsid w:val="00740B7B"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sid w:val="00740B7B"/>
    <w:rPr>
      <w:vertAlign w:val="superscript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Listenabsatz">
    <w:name w:val="List Paragraph"/>
    <w:qFormat/>
    <w:rsid w:val="000E02C5"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u w:color="000000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40B7B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table" w:styleId="Tabellenraster">
    <w:name w:val="Table Grid"/>
    <w:basedOn w:val="NormaleTabelle"/>
    <w:uiPriority w:val="59"/>
    <w:rsid w:val="00527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974E2E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lang w:val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7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2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06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08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28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3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23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07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1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78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59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57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90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09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9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63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87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813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90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9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33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660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19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8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22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13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35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5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00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35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296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857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Stefan Gasch</cp:lastModifiedBy>
  <cp:revision>24</cp:revision>
  <dcterms:created xsi:type="dcterms:W3CDTF">2023-06-15T14:30:00Z</dcterms:created>
  <dcterms:modified xsi:type="dcterms:W3CDTF">2023-10-04T12:54:00Z</dcterms:modified>
  <dc:language>de-AT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