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72FB1" w14:textId="77777777" w:rsidR="00AB1A51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18. In Festo </w:t>
      </w:r>
      <w:proofErr w:type="spellStart"/>
      <w:r>
        <w:rPr>
          <w:lang w:val="en-GB"/>
        </w:rPr>
        <w:t>Pentecostes</w:t>
      </w:r>
      <w:proofErr w:type="spellEnd"/>
      <w:r>
        <w:rPr>
          <w:lang w:val="en-GB"/>
        </w:rPr>
        <w:t xml:space="preserve"> (SC P 18)</w:t>
      </w:r>
    </w:p>
    <w:p w14:paraId="62CD6C65" w14:textId="77777777" w:rsidR="00AB1A51" w:rsidRDefault="00000000">
      <w:pPr>
        <w:pStyle w:val="berschrift2"/>
        <w:numPr>
          <w:ilvl w:val="0"/>
          <w:numId w:val="1"/>
        </w:numPr>
        <w:rPr>
          <w:lang w:val="en-GB"/>
        </w:rPr>
      </w:pPr>
      <w:r>
        <w:t>Text</w:t>
      </w:r>
    </w:p>
    <w:p w14:paraId="7DC44963" w14:textId="77777777" w:rsidR="00AB1A51" w:rsidRDefault="00000000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>See this volume, no. 17 (Sequence)</w:t>
      </w:r>
    </w:p>
    <w:p w14:paraId="6E404DFA" w14:textId="77777777" w:rsidR="00AB1A5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5C78DD6F" w14:textId="77777777" w:rsidR="007073E5" w:rsidRDefault="00CE5D13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T</w:t>
      </w:r>
      <w:r>
        <w:rPr>
          <w:sz w:val="21"/>
          <w:szCs w:val="21"/>
          <w:lang w:val="en-GB"/>
        </w:rPr>
        <w:t>he only surviving voice part</w:t>
      </w:r>
      <w:r>
        <w:rPr>
          <w:sz w:val="21"/>
          <w:szCs w:val="21"/>
          <w:lang w:val="en-GB"/>
        </w:rPr>
        <w:t>—t</w:t>
      </w:r>
      <w:r w:rsidR="00000000">
        <w:rPr>
          <w:sz w:val="21"/>
          <w:szCs w:val="21"/>
          <w:lang w:val="en-GB"/>
        </w:rPr>
        <w:t>he tenor of Senfl’s second setting of this sequence</w:t>
      </w:r>
      <w:r w:rsidR="00C31990">
        <w:rPr>
          <w:sz w:val="21"/>
          <w:szCs w:val="21"/>
          <w:lang w:val="en-GB"/>
        </w:rPr>
        <w:t>—</w:t>
      </w:r>
      <w:r w:rsidR="00000000">
        <w:rPr>
          <w:sz w:val="21"/>
          <w:szCs w:val="21"/>
          <w:lang w:val="en-GB"/>
        </w:rPr>
        <w:t>is closely related to the monophonic version</w:t>
      </w:r>
      <w:r w:rsidR="00C31990">
        <w:rPr>
          <w:sz w:val="21"/>
          <w:szCs w:val="21"/>
          <w:lang w:val="en-GB"/>
        </w:rPr>
        <w:t xml:space="preserve"> found </w:t>
      </w:r>
      <w:r w:rsidR="00000000">
        <w:rPr>
          <w:sz w:val="21"/>
          <w:szCs w:val="21"/>
          <w:lang w:val="en-GB"/>
        </w:rPr>
        <w:t xml:space="preserve">in the </w:t>
      </w:r>
      <w:proofErr w:type="spellStart"/>
      <w:r w:rsidR="00000000">
        <w:rPr>
          <w:i/>
          <w:iCs/>
          <w:sz w:val="21"/>
          <w:szCs w:val="21"/>
          <w:lang w:val="en-GB"/>
        </w:rPr>
        <w:t>Graduale</w:t>
      </w:r>
      <w:proofErr w:type="spellEnd"/>
      <w:r w:rsidR="00000000">
        <w:rPr>
          <w:i/>
          <w:iCs/>
          <w:sz w:val="21"/>
          <w:szCs w:val="21"/>
          <w:lang w:val="en-GB"/>
        </w:rPr>
        <w:t xml:space="preserve"> </w:t>
      </w:r>
      <w:proofErr w:type="spellStart"/>
      <w:r w:rsidR="00000000">
        <w:rPr>
          <w:i/>
          <w:iCs/>
          <w:sz w:val="21"/>
          <w:szCs w:val="21"/>
          <w:lang w:val="en-GB"/>
        </w:rPr>
        <w:t>Pataviense</w:t>
      </w:r>
      <w:proofErr w:type="spellEnd"/>
      <w:r w:rsidR="00000000">
        <w:rPr>
          <w:sz w:val="21"/>
          <w:szCs w:val="21"/>
          <w:lang w:val="en-GB"/>
        </w:rPr>
        <w:t xml:space="preserve"> (1511), </w:t>
      </w:r>
      <w:proofErr w:type="spellStart"/>
      <w:r w:rsidR="00000000">
        <w:rPr>
          <w:sz w:val="21"/>
          <w:szCs w:val="21"/>
          <w:lang w:val="en-GB"/>
        </w:rPr>
        <w:t>fols</w:t>
      </w:r>
      <w:proofErr w:type="spellEnd"/>
      <w:r w:rsidR="00000000">
        <w:rPr>
          <w:sz w:val="21"/>
          <w:szCs w:val="21"/>
          <w:lang w:val="en-GB"/>
        </w:rPr>
        <w:t>. 208</w:t>
      </w:r>
      <w:r w:rsidR="00000000">
        <w:rPr>
          <w:sz w:val="21"/>
          <w:szCs w:val="21"/>
          <w:vertAlign w:val="superscript"/>
          <w:lang w:val="en-GB"/>
        </w:rPr>
        <w:t>r</w:t>
      </w:r>
      <w:r w:rsidR="00000000">
        <w:rPr>
          <w:sz w:val="21"/>
          <w:szCs w:val="21"/>
          <w:lang w:val="en-GB"/>
        </w:rPr>
        <w:t>–209</w:t>
      </w:r>
      <w:r w:rsidR="00000000">
        <w:rPr>
          <w:sz w:val="21"/>
          <w:szCs w:val="21"/>
          <w:vertAlign w:val="superscript"/>
          <w:lang w:val="en-GB"/>
        </w:rPr>
        <w:t>r</w:t>
      </w:r>
      <w:r w:rsidR="00000000">
        <w:rPr>
          <w:sz w:val="21"/>
          <w:szCs w:val="21"/>
          <w:lang w:val="en-GB"/>
        </w:rPr>
        <w:t xml:space="preserve">. </w:t>
      </w:r>
      <w:r w:rsidRPr="00CE5D13">
        <w:rPr>
          <w:sz w:val="21"/>
          <w:szCs w:val="21"/>
          <w:lang w:val="en-GB"/>
        </w:rPr>
        <w:t xml:space="preserve">This is remarkable </w:t>
      </w:r>
      <w:proofErr w:type="gramStart"/>
      <w:r w:rsidRPr="00CE5D13">
        <w:rPr>
          <w:sz w:val="21"/>
          <w:szCs w:val="21"/>
          <w:lang w:val="en-GB"/>
        </w:rPr>
        <w:t>inasmuch as</w:t>
      </w:r>
      <w:proofErr w:type="gramEnd"/>
      <w:r w:rsidRPr="00CE5D13">
        <w:rPr>
          <w:sz w:val="21"/>
          <w:szCs w:val="21"/>
          <w:lang w:val="en-GB"/>
        </w:rPr>
        <w:t xml:space="preserve"> Senfl usually </w:t>
      </w:r>
      <w:r>
        <w:rPr>
          <w:sz w:val="21"/>
          <w:szCs w:val="21"/>
          <w:lang w:val="en-GB"/>
        </w:rPr>
        <w:t>features</w:t>
      </w:r>
      <w:r w:rsidRPr="00CE5D13">
        <w:rPr>
          <w:sz w:val="21"/>
          <w:szCs w:val="21"/>
          <w:lang w:val="en-GB"/>
        </w:rPr>
        <w:t xml:space="preserve"> the cantus firmus in the </w:t>
      </w:r>
      <w:proofErr w:type="spellStart"/>
      <w:r w:rsidRPr="00CE5D13">
        <w:rPr>
          <w:sz w:val="21"/>
          <w:szCs w:val="21"/>
          <w:lang w:val="en-GB"/>
        </w:rPr>
        <w:t>bass</w:t>
      </w:r>
      <w:r>
        <w:rPr>
          <w:sz w:val="21"/>
          <w:szCs w:val="21"/>
          <w:lang w:val="en-GB"/>
        </w:rPr>
        <w:t>us</w:t>
      </w:r>
      <w:proofErr w:type="spellEnd"/>
      <w:r w:rsidRPr="00CE5D13">
        <w:rPr>
          <w:sz w:val="21"/>
          <w:szCs w:val="21"/>
          <w:lang w:val="en-GB"/>
        </w:rPr>
        <w:t xml:space="preserve"> in his other proper</w:t>
      </w:r>
      <w:r>
        <w:rPr>
          <w:sz w:val="21"/>
          <w:szCs w:val="21"/>
          <w:lang w:val="en-GB"/>
        </w:rPr>
        <w:t xml:space="preserve"> settings</w:t>
      </w:r>
      <w:r w:rsidRPr="00CE5D13">
        <w:rPr>
          <w:sz w:val="21"/>
          <w:szCs w:val="21"/>
          <w:lang w:val="en-GB"/>
        </w:rPr>
        <w:t>.</w:t>
      </w:r>
    </w:p>
    <w:p w14:paraId="33FC6921" w14:textId="4082AB44" w:rsidR="00AB1A51" w:rsidRDefault="00EC541B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composition was intended for an alternatim </w:t>
      </w:r>
      <w:proofErr w:type="spellStart"/>
      <w:r>
        <w:rPr>
          <w:sz w:val="21"/>
          <w:szCs w:val="21"/>
          <w:lang w:val="en-GB"/>
        </w:rPr>
        <w:t xml:space="preserve">performance. </w:t>
      </w:r>
      <w:proofErr w:type="spellEnd"/>
      <w:r w:rsidR="007073E5">
        <w:rPr>
          <w:sz w:val="21"/>
          <w:szCs w:val="21"/>
          <w:lang w:val="en-GB"/>
        </w:rPr>
        <w:t>V</w:t>
      </w:r>
      <w:r w:rsidR="007073E5">
        <w:rPr>
          <w:sz w:val="21"/>
          <w:szCs w:val="21"/>
          <w:lang w:val="en-GB"/>
        </w:rPr>
        <w:t xml:space="preserve">. 1 </w:t>
      </w:r>
      <w:r w:rsidR="007073E5">
        <w:rPr>
          <w:sz w:val="21"/>
          <w:szCs w:val="21"/>
          <w:lang w:val="en-GB"/>
        </w:rPr>
        <w:t xml:space="preserve">as well as </w:t>
      </w:r>
      <w:r w:rsidR="00000000">
        <w:rPr>
          <w:sz w:val="21"/>
          <w:szCs w:val="21"/>
          <w:lang w:val="en-GB"/>
        </w:rPr>
        <w:t>all even verses of the sequence have been set polyphonically</w:t>
      </w:r>
      <w:r w:rsidR="007073E5">
        <w:rPr>
          <w:sz w:val="21"/>
          <w:szCs w:val="21"/>
          <w:lang w:val="en-GB"/>
        </w:rPr>
        <w:t xml:space="preserve"> (e</w:t>
      </w:r>
      <w:r w:rsidR="007073E5">
        <w:rPr>
          <w:sz w:val="21"/>
          <w:szCs w:val="21"/>
          <w:lang w:val="en-GB"/>
        </w:rPr>
        <w:t>xcept for v. 14 (‘</w:t>
      </w:r>
      <w:proofErr w:type="spellStart"/>
      <w:r w:rsidR="007073E5">
        <w:rPr>
          <w:sz w:val="21"/>
          <w:szCs w:val="21"/>
          <w:lang w:val="en-GB"/>
        </w:rPr>
        <w:t>Quando</w:t>
      </w:r>
      <w:proofErr w:type="spellEnd"/>
      <w:r w:rsidR="007073E5">
        <w:rPr>
          <w:sz w:val="21"/>
          <w:szCs w:val="21"/>
          <w:lang w:val="en-GB"/>
        </w:rPr>
        <w:t xml:space="preserve"> </w:t>
      </w:r>
      <w:proofErr w:type="spellStart"/>
      <w:r w:rsidR="007073E5">
        <w:rPr>
          <w:sz w:val="21"/>
          <w:szCs w:val="21"/>
          <w:lang w:val="en-GB"/>
        </w:rPr>
        <w:t>machinam</w:t>
      </w:r>
      <w:proofErr w:type="spellEnd"/>
      <w:r w:rsidR="007073E5">
        <w:rPr>
          <w:sz w:val="21"/>
          <w:szCs w:val="21"/>
          <w:lang w:val="en-GB"/>
        </w:rPr>
        <w:t>’), where the tenor pauses</w:t>
      </w:r>
      <w:r w:rsidR="007073E5">
        <w:rPr>
          <w:sz w:val="21"/>
          <w:szCs w:val="21"/>
          <w:lang w:val="en-GB"/>
        </w:rPr>
        <w:t>)</w:t>
      </w:r>
      <w:r w:rsidR="00000000">
        <w:rPr>
          <w:sz w:val="21"/>
          <w:szCs w:val="21"/>
          <w:lang w:val="en-GB"/>
        </w:rPr>
        <w:t>. A complete setting of the same sequence can be found in SC P 17</w:t>
      </w:r>
      <w:r w:rsidR="00C31990">
        <w:rPr>
          <w:sz w:val="21"/>
          <w:szCs w:val="21"/>
          <w:lang w:val="en-GB"/>
        </w:rPr>
        <w:t xml:space="preserve"> (see this volume, no. 17)</w:t>
      </w:r>
      <w:r w:rsidR="00000000">
        <w:rPr>
          <w:sz w:val="21"/>
          <w:szCs w:val="21"/>
          <w:lang w:val="en-GB"/>
        </w:rPr>
        <w:t>, where monophonic versions of the uneven verses have been added by the editors.</w:t>
      </w:r>
    </w:p>
    <w:p w14:paraId="7559F3D2" w14:textId="77777777" w:rsidR="00AB1A5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AB1A51" w:rsidRPr="00C31990" w14:paraId="57C2D797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6EBC184" w14:textId="77777777" w:rsidR="00AB1A51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Bud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6D6BB31A" w14:textId="687650BA" w:rsidR="00AB1A5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H-Bn Ms. mus. </w:t>
            </w:r>
            <w:proofErr w:type="spellStart"/>
            <w:r>
              <w:rPr>
                <w:szCs w:val="22"/>
                <w:lang w:val="en-GB"/>
              </w:rPr>
              <w:t>Bártfa</w:t>
            </w:r>
            <w:proofErr w:type="spellEnd"/>
            <w:r>
              <w:rPr>
                <w:szCs w:val="22"/>
                <w:lang w:val="en-GB"/>
              </w:rPr>
              <w:t xml:space="preserve"> 22, [no. 1678], no. 15</w:t>
            </w:r>
            <w:r w:rsidR="00C94962">
              <w:rPr>
                <w:szCs w:val="22"/>
                <w:lang w:val="en-GB"/>
              </w:rPr>
              <w:t xml:space="preserve"> (T, V)</w:t>
            </w:r>
            <w:r>
              <w:rPr>
                <w:szCs w:val="22"/>
                <w:lang w:val="en-GB"/>
              </w:rPr>
              <w:t xml:space="preserve">, </w:t>
            </w:r>
            <w:r>
              <w:rPr>
                <w:i/>
                <w:iCs/>
                <w:szCs w:val="22"/>
                <w:lang w:val="en-GB"/>
              </w:rPr>
              <w:t>LS</w:t>
            </w:r>
            <w:r>
              <w:rPr>
                <w:szCs w:val="22"/>
                <w:lang w:val="en-GB"/>
              </w:rPr>
              <w:t>, T only, text in extant voice</w:t>
            </w:r>
          </w:p>
        </w:tc>
      </w:tr>
    </w:tbl>
    <w:p w14:paraId="68D5B277" w14:textId="77777777" w:rsidR="00AB1A5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687855A5" w14:textId="77777777" w:rsidR="00AB1A5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4591"/>
        <w:gridCol w:w="4589"/>
      </w:tblGrid>
      <w:tr w:rsidR="00AB1A51" w:rsidRPr="00C31990" w14:paraId="4F669EF1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A85F0" w14:textId="77777777" w:rsidR="00AB1A5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567130B6" w14:textId="6F42304B" w:rsidR="00AB1A5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Sb joined by a </w:t>
            </w:r>
            <w:r w:rsidR="00C31990">
              <w:rPr>
                <w:szCs w:val="22"/>
                <w:lang w:val="en-GB"/>
              </w:rPr>
              <w:t>curlicue</w:t>
            </w:r>
            <w:r>
              <w:rPr>
                <w:szCs w:val="22"/>
                <w:lang w:val="en-GB"/>
              </w:rPr>
              <w:t xml:space="preserve"> to form a Br</w:t>
            </w:r>
          </w:p>
        </w:tc>
      </w:tr>
      <w:tr w:rsidR="00AB1A51" w:rsidRPr="00C31990" w14:paraId="3A331BF0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EC61D0" w14:textId="77777777" w:rsidR="00AB1A5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3D712F5F" w14:textId="3C14C734" w:rsidR="00AB1A51" w:rsidRDefault="00965B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</w:t>
            </w:r>
            <w:r w:rsidR="00000000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 xml:space="preserve">erroneously notated </w:t>
            </w:r>
            <w:r w:rsidR="00000000">
              <w:rPr>
                <w:szCs w:val="22"/>
                <w:lang w:val="en-GB"/>
              </w:rPr>
              <w:t xml:space="preserve">Sb </w:t>
            </w:r>
            <w:r w:rsidR="00000000">
              <w:rPr>
                <w:i/>
                <w:iCs/>
                <w:szCs w:val="22"/>
                <w:lang w:val="en-GB"/>
              </w:rPr>
              <w:t>a</w:t>
            </w:r>
            <w:r w:rsidR="00000000">
              <w:rPr>
                <w:szCs w:val="22"/>
                <w:vertAlign w:val="superscript"/>
                <w:lang w:val="en-GB"/>
              </w:rPr>
              <w:t>1</w:t>
            </w:r>
            <w:r w:rsidR="00000000">
              <w:rPr>
                <w:szCs w:val="22"/>
                <w:lang w:val="en-GB"/>
              </w:rPr>
              <w:t xml:space="preserve"> crossed out between the</w:t>
            </w:r>
            <w:r w:rsidR="001F24B9">
              <w:rPr>
                <w:szCs w:val="22"/>
                <w:lang w:val="en-GB"/>
              </w:rPr>
              <w:t>se notes</w:t>
            </w:r>
          </w:p>
        </w:tc>
      </w:tr>
    </w:tbl>
    <w:p w14:paraId="55C3AA84" w14:textId="77777777" w:rsidR="00AB1A5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4591"/>
        <w:gridCol w:w="4589"/>
      </w:tblGrid>
      <w:tr w:rsidR="00AB1A51" w:rsidRPr="00C31990" w14:paraId="5F85B01F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716C1C" w14:textId="77777777" w:rsidR="00AB1A5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6–7</w:t>
            </w:r>
            <w:r>
              <w:rPr>
                <w:szCs w:val="22"/>
                <w:vertAlign w:val="subscript"/>
              </w:rPr>
              <w:t>1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704D460F" w14:textId="77777777" w:rsidR="00AB1A51" w:rsidRPr="00C31990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erroneous text underlay </w:t>
            </w:r>
            <w:r w:rsidRPr="00C31990">
              <w:rPr>
                <w:rFonts w:ascii="Adobe Garamond Pro" w:hAnsi="Adobe Garamond Pro"/>
                <w:i/>
                <w:iCs/>
                <w:sz w:val="22"/>
                <w:szCs w:val="22"/>
                <w:lang w:val="en-US"/>
              </w:rPr>
              <w:t xml:space="preserve">Spiritus </w:t>
            </w: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>crossed out</w:t>
            </w:r>
          </w:p>
        </w:tc>
      </w:tr>
      <w:tr w:rsidR="00AB1A51" w14:paraId="04EF6E8F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C28D13" w14:textId="77777777" w:rsidR="00AB1A5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10AAD664" w14:textId="77777777" w:rsidR="00AB1A51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hominum</w:t>
            </w:r>
            <w:proofErr w:type="spellEnd"/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replaced by </w:t>
            </w:r>
            <w:proofErr w:type="spellStart"/>
            <w: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cordium</w:t>
            </w:r>
            <w:proofErr w:type="spellEnd"/>
          </w:p>
        </w:tc>
      </w:tr>
      <w:tr w:rsidR="00AB1A51" w14:paraId="466872BA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0710836" w14:textId="77777777" w:rsidR="00AB1A5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–37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3B54FC86" w14:textId="77777777" w:rsidR="00AB1A51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</w:rPr>
            </w:pPr>
            <w:proofErr w:type="spellStart"/>
            <w: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hominum</w:t>
            </w:r>
            <w:proofErr w:type="spellEnd"/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replaced by </w:t>
            </w:r>
            <w:proofErr w:type="spellStart"/>
            <w: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cordium</w:t>
            </w:r>
            <w:proofErr w:type="spellEnd"/>
          </w:p>
        </w:tc>
      </w:tr>
      <w:tr w:rsidR="00AB1A51" w:rsidRPr="00C31990" w14:paraId="368DF31C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061F70" w14:textId="77777777" w:rsidR="00AB1A5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101</w:t>
            </w:r>
            <w:r>
              <w:rPr>
                <w:szCs w:val="22"/>
                <w:vertAlign w:val="subscript"/>
              </w:rPr>
              <w:t>2–3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75F0EBAB" w14:textId="6046DD7B" w:rsidR="00AB1A51" w:rsidRPr="00C31990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barely </w:t>
            </w:r>
            <w:r w:rsidR="003C5233">
              <w:rPr>
                <w:rFonts w:ascii="Adobe Garamond Pro" w:hAnsi="Adobe Garamond Pro"/>
                <w:sz w:val="22"/>
                <w:szCs w:val="22"/>
                <w:lang w:val="en-US"/>
              </w:rPr>
              <w:t>readable</w:t>
            </w: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due to whole in leaf</w:t>
            </w:r>
          </w:p>
        </w:tc>
      </w:tr>
      <w:tr w:rsidR="00AB1A51" w:rsidRPr="00C31990" w14:paraId="123DFF53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B459E7" w14:textId="77777777" w:rsidR="00AB1A5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110</w:t>
            </w:r>
            <w:r>
              <w:rPr>
                <w:szCs w:val="22"/>
                <w:vertAlign w:val="subscript"/>
              </w:rPr>
              <w:t>1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14:paraId="67E9DFDD" w14:textId="3939B552" w:rsidR="00AB1A51" w:rsidRPr="00C31990" w:rsidRDefault="00000000">
            <w:pPr>
              <w:widowControl w:val="0"/>
              <w:rPr>
                <w:rFonts w:ascii="Adobe Garamond Pro" w:hAnsi="Adobe Garamond Pro"/>
                <w:sz w:val="22"/>
                <w:szCs w:val="22"/>
                <w:lang w:val="en-US"/>
              </w:rPr>
            </w:pP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barely </w:t>
            </w:r>
            <w:r w:rsidR="003C5233">
              <w:rPr>
                <w:rFonts w:ascii="Adobe Garamond Pro" w:hAnsi="Adobe Garamond Pro"/>
                <w:sz w:val="22"/>
                <w:szCs w:val="22"/>
                <w:lang w:val="en-US"/>
              </w:rPr>
              <w:t>readable</w:t>
            </w:r>
            <w:r w:rsidRPr="00C31990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due to whole in leaf</w:t>
            </w:r>
          </w:p>
        </w:tc>
      </w:tr>
    </w:tbl>
    <w:p w14:paraId="6F78C50D" w14:textId="77777777" w:rsidR="00AB1A51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072C82E1" w14:textId="092CD931" w:rsidR="00AB1A51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While individual note heads and text syllables have been cut but </w:t>
      </w:r>
      <w:r w:rsidR="00C31990">
        <w:rPr>
          <w:lang w:val="en-GB"/>
        </w:rPr>
        <w:t>remain</w:t>
      </w:r>
      <w:r>
        <w:rPr>
          <w:lang w:val="en-GB"/>
        </w:rPr>
        <w:t xml:space="preserve"> readable, the damage to the bottom of the first folio, however, has effaced the text (mm. 101–12</w:t>
      </w:r>
      <w:r>
        <w:rPr>
          <w:vertAlign w:val="subscript"/>
          <w:lang w:val="en-GB"/>
        </w:rPr>
        <w:t>1</w:t>
      </w:r>
      <w:r>
        <w:rPr>
          <w:lang w:val="en-GB"/>
        </w:rPr>
        <w:t>).</w:t>
      </w:r>
    </w:p>
    <w:p w14:paraId="51A5AEA7" w14:textId="3BFE140B" w:rsidR="00AB1A51" w:rsidRDefault="00000000">
      <w:pPr>
        <w:pStyle w:val="Textkrper"/>
        <w:numPr>
          <w:ilvl w:val="0"/>
          <w:numId w:val="2"/>
        </w:numPr>
        <w:rPr>
          <w:lang w:val="en-GB"/>
        </w:rPr>
      </w:pPr>
      <w:r w:rsidRPr="00C31990">
        <w:rPr>
          <w:lang w:val="en-US"/>
        </w:rPr>
        <w:t xml:space="preserve">As the application of </w:t>
      </w:r>
      <w:proofErr w:type="spellStart"/>
      <w:r w:rsidRPr="00C31990">
        <w:rPr>
          <w:i/>
          <w:iCs/>
          <w:lang w:val="en-US"/>
        </w:rPr>
        <w:t>musica</w:t>
      </w:r>
      <w:proofErr w:type="spellEnd"/>
      <w:r w:rsidRPr="00C31990">
        <w:rPr>
          <w:i/>
          <w:iCs/>
          <w:lang w:val="en-US"/>
        </w:rPr>
        <w:t xml:space="preserve"> </w:t>
      </w:r>
      <w:proofErr w:type="spellStart"/>
      <w:r w:rsidRPr="00C31990">
        <w:rPr>
          <w:i/>
          <w:iCs/>
          <w:lang w:val="en-US"/>
        </w:rPr>
        <w:t>ficta</w:t>
      </w:r>
      <w:proofErr w:type="spellEnd"/>
      <w:r w:rsidRPr="00C31990">
        <w:rPr>
          <w:lang w:val="en-US"/>
        </w:rPr>
        <w:t xml:space="preserve"> is depending on the other voices (which </w:t>
      </w:r>
      <w:r w:rsidR="00C31990">
        <w:rPr>
          <w:lang w:val="en-US"/>
        </w:rPr>
        <w:t>are lost</w:t>
      </w:r>
      <w:r w:rsidRPr="00C31990">
        <w:rPr>
          <w:lang w:val="en-US"/>
        </w:rPr>
        <w:t xml:space="preserve">), the editors chose to add no </w:t>
      </w:r>
      <w:proofErr w:type="spellStart"/>
      <w:r w:rsidRPr="00C31990">
        <w:rPr>
          <w:i/>
          <w:iCs/>
          <w:lang w:val="en-US"/>
        </w:rPr>
        <w:t>musica</w:t>
      </w:r>
      <w:proofErr w:type="spellEnd"/>
      <w:r w:rsidRPr="00C31990">
        <w:rPr>
          <w:i/>
          <w:iCs/>
          <w:lang w:val="en-US"/>
        </w:rPr>
        <w:t xml:space="preserve"> </w:t>
      </w:r>
      <w:proofErr w:type="spellStart"/>
      <w:r w:rsidRPr="00C31990">
        <w:rPr>
          <w:i/>
          <w:iCs/>
          <w:lang w:val="en-US"/>
        </w:rPr>
        <w:t>ficta</w:t>
      </w:r>
      <w:proofErr w:type="spellEnd"/>
      <w:r w:rsidRPr="00C31990">
        <w:rPr>
          <w:i/>
          <w:iCs/>
          <w:lang w:val="en-US"/>
        </w:rPr>
        <w:t>.</w:t>
      </w:r>
    </w:p>
    <w:p w14:paraId="5C2A305B" w14:textId="77777777" w:rsidR="00AB1A51" w:rsidRPr="00C31990" w:rsidRDefault="00000000">
      <w:pPr>
        <w:pStyle w:val="Textkrper"/>
        <w:numPr>
          <w:ilvl w:val="0"/>
          <w:numId w:val="2"/>
        </w:numPr>
        <w:rPr>
          <w:lang w:val="en-US"/>
        </w:rPr>
      </w:pPr>
      <w:r w:rsidRPr="00C31990">
        <w:rPr>
          <w:lang w:val="en-US"/>
        </w:rPr>
        <w:t>The opening words of each verse are underlined in red ink.</w:t>
      </w:r>
    </w:p>
    <w:p w14:paraId="598DFE48" w14:textId="233EB312" w:rsidR="00AB1A51" w:rsidRPr="00C31990" w:rsidRDefault="008759EF">
      <w:pPr>
        <w:pStyle w:val="Textkrper"/>
        <w:numPr>
          <w:ilvl w:val="0"/>
          <w:numId w:val="2"/>
        </w:numPr>
        <w:rPr>
          <w:lang w:val="en-US"/>
        </w:rPr>
      </w:pPr>
      <w:r w:rsidRPr="008759EF">
        <w:rPr>
          <w:lang w:val="en-US"/>
        </w:rPr>
        <w:t>In contrast to Senfl</w:t>
      </w:r>
      <w:r>
        <w:rPr>
          <w:lang w:val="en-US"/>
        </w:rPr>
        <w:t>’</w:t>
      </w:r>
      <w:r w:rsidRPr="008759EF">
        <w:rPr>
          <w:lang w:val="en-US"/>
        </w:rPr>
        <w:t xml:space="preserve">s Proper cycle for the Feast of Pentecost (SC P 17), which is notated at the beginning of </w:t>
      </w:r>
      <w:r w:rsidR="00DE5F4F" w:rsidRPr="00DE5F4F">
        <w:rPr>
          <w:b/>
          <w:bCs/>
          <w:lang w:val="en-US"/>
        </w:rPr>
        <w:t>Bud</w:t>
      </w:r>
      <w:r w:rsidR="00DE5F4F" w:rsidRPr="00DE5F4F">
        <w:rPr>
          <w:b/>
          <w:bCs/>
          <w:vertAlign w:val="superscript"/>
          <w:lang w:val="en-US"/>
        </w:rPr>
        <w:t>1</w:t>
      </w:r>
      <w:r w:rsidRPr="008759EF">
        <w:rPr>
          <w:lang w:val="en-US"/>
        </w:rPr>
        <w:t>, th</w:t>
      </w:r>
      <w:r w:rsidR="00965B75">
        <w:rPr>
          <w:lang w:val="en-US"/>
        </w:rPr>
        <w:t>e present</w:t>
      </w:r>
      <w:r w:rsidRPr="008759EF">
        <w:rPr>
          <w:lang w:val="en-US"/>
        </w:rPr>
        <w:t xml:space="preserve"> stand-alone sequence was only written down </w:t>
      </w:r>
      <w:r w:rsidR="001F24B9">
        <w:rPr>
          <w:lang w:val="en-US"/>
        </w:rPr>
        <w:t>in a later section of the manuscript</w:t>
      </w:r>
      <w:r w:rsidRPr="008759EF">
        <w:rPr>
          <w:lang w:val="en-US"/>
        </w:rPr>
        <w:t xml:space="preserve">. The piece is found in a series of anonymous, unrelated polyphonic post-Easter chants (Antiphon: </w:t>
      </w:r>
      <w:proofErr w:type="spellStart"/>
      <w:r w:rsidRPr="00965B75">
        <w:rPr>
          <w:i/>
          <w:iCs/>
          <w:lang w:val="en-US"/>
        </w:rPr>
        <w:t>Hodie</w:t>
      </w:r>
      <w:proofErr w:type="spellEnd"/>
      <w:r w:rsidRPr="00965B75">
        <w:rPr>
          <w:i/>
          <w:iCs/>
          <w:lang w:val="en-US"/>
        </w:rPr>
        <w:t xml:space="preserve"> </w:t>
      </w:r>
      <w:proofErr w:type="spellStart"/>
      <w:r w:rsidRPr="00965B75">
        <w:rPr>
          <w:i/>
          <w:iCs/>
          <w:lang w:val="en-US"/>
        </w:rPr>
        <w:t>completi</w:t>
      </w:r>
      <w:proofErr w:type="spellEnd"/>
      <w:r w:rsidRPr="00965B75">
        <w:rPr>
          <w:i/>
          <w:iCs/>
          <w:lang w:val="en-US"/>
        </w:rPr>
        <w:t xml:space="preserve"> sunt dies </w:t>
      </w:r>
      <w:proofErr w:type="spellStart"/>
      <w:r w:rsidRPr="00965B75">
        <w:rPr>
          <w:i/>
          <w:iCs/>
          <w:lang w:val="en-US"/>
        </w:rPr>
        <w:t>pentecostes</w:t>
      </w:r>
      <w:proofErr w:type="spellEnd"/>
      <w:r w:rsidRPr="008759EF">
        <w:rPr>
          <w:lang w:val="en-US"/>
        </w:rPr>
        <w:t xml:space="preserve">; </w:t>
      </w:r>
      <w:proofErr w:type="spellStart"/>
      <w:r w:rsidRPr="008759EF">
        <w:rPr>
          <w:lang w:val="en-US"/>
        </w:rPr>
        <w:t>Responsorium</w:t>
      </w:r>
      <w:proofErr w:type="spellEnd"/>
      <w:r w:rsidRPr="008759EF">
        <w:rPr>
          <w:lang w:val="en-US"/>
        </w:rPr>
        <w:t xml:space="preserve">: </w:t>
      </w:r>
      <w:proofErr w:type="spellStart"/>
      <w:r w:rsidRPr="00965B75">
        <w:rPr>
          <w:i/>
          <w:iCs/>
          <w:lang w:val="en-US"/>
        </w:rPr>
        <w:t>Quiescat</w:t>
      </w:r>
      <w:proofErr w:type="spellEnd"/>
      <w:r w:rsidRPr="00965B75">
        <w:rPr>
          <w:i/>
          <w:iCs/>
          <w:lang w:val="en-US"/>
        </w:rPr>
        <w:t xml:space="preserve"> </w:t>
      </w:r>
      <w:proofErr w:type="spellStart"/>
      <w:r w:rsidRPr="00965B75">
        <w:rPr>
          <w:i/>
          <w:iCs/>
          <w:lang w:val="en-US"/>
        </w:rPr>
        <w:t>ira</w:t>
      </w:r>
      <w:proofErr w:type="spellEnd"/>
      <w:r w:rsidRPr="00965B75">
        <w:rPr>
          <w:i/>
          <w:iCs/>
          <w:lang w:val="en-US"/>
        </w:rPr>
        <w:t xml:space="preserve"> </w:t>
      </w:r>
      <w:proofErr w:type="spellStart"/>
      <w:r w:rsidRPr="00965B75">
        <w:rPr>
          <w:i/>
          <w:iCs/>
          <w:lang w:val="en-US"/>
        </w:rPr>
        <w:t>tua</w:t>
      </w:r>
      <w:proofErr w:type="spellEnd"/>
      <w:r w:rsidRPr="008759EF">
        <w:rPr>
          <w:lang w:val="en-US"/>
        </w:rPr>
        <w:t xml:space="preserve">; Antiphon: </w:t>
      </w:r>
      <w:r w:rsidRPr="00965B75">
        <w:rPr>
          <w:i/>
          <w:iCs/>
          <w:lang w:val="en-US"/>
        </w:rPr>
        <w:t xml:space="preserve">Venite et videte locum ubi </w:t>
      </w:r>
      <w:proofErr w:type="spellStart"/>
      <w:r w:rsidRPr="00965B75">
        <w:rPr>
          <w:i/>
          <w:iCs/>
          <w:lang w:val="en-US"/>
        </w:rPr>
        <w:t>positus</w:t>
      </w:r>
      <w:proofErr w:type="spellEnd"/>
      <w:r w:rsidRPr="00965B75">
        <w:rPr>
          <w:i/>
          <w:iCs/>
          <w:lang w:val="en-US"/>
        </w:rPr>
        <w:t xml:space="preserve"> </w:t>
      </w:r>
      <w:proofErr w:type="spellStart"/>
      <w:r w:rsidRPr="00965B75">
        <w:rPr>
          <w:i/>
          <w:iCs/>
          <w:lang w:val="en-US"/>
        </w:rPr>
        <w:t>erat</w:t>
      </w:r>
      <w:proofErr w:type="spellEnd"/>
      <w:r w:rsidRPr="008759EF">
        <w:rPr>
          <w:lang w:val="en-US"/>
        </w:rPr>
        <w:t>). Senfl</w:t>
      </w:r>
      <w:r w:rsidR="00965B75">
        <w:rPr>
          <w:lang w:val="en-US"/>
        </w:rPr>
        <w:t>’</w:t>
      </w:r>
      <w:r w:rsidRPr="008759EF">
        <w:rPr>
          <w:lang w:val="en-US"/>
        </w:rPr>
        <w:t xml:space="preserve">s sequence follows an anonymously transmitted textless piece and does not complete any other </w:t>
      </w:r>
      <w:proofErr w:type="spellStart"/>
      <w:r w:rsidRPr="008759EF">
        <w:rPr>
          <w:lang w:val="en-US"/>
        </w:rPr>
        <w:t>propers</w:t>
      </w:r>
      <w:proofErr w:type="spellEnd"/>
      <w:r w:rsidRPr="008759EF">
        <w:rPr>
          <w:lang w:val="en-US"/>
        </w:rPr>
        <w:t xml:space="preserve"> cycle.</w:t>
      </w:r>
    </w:p>
    <w:sectPr w:rsidR="00AB1A51" w:rsidRPr="00C3199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232D"/>
    <w:multiLevelType w:val="multilevel"/>
    <w:tmpl w:val="7B5AB9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F5000F"/>
    <w:multiLevelType w:val="multilevel"/>
    <w:tmpl w:val="EFE23B3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DF3A78"/>
    <w:multiLevelType w:val="multilevel"/>
    <w:tmpl w:val="B76089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1943552">
    <w:abstractNumId w:val="0"/>
  </w:num>
  <w:num w:numId="2" w16cid:durableId="998853048">
    <w:abstractNumId w:val="1"/>
  </w:num>
  <w:num w:numId="3" w16cid:durableId="353771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A51"/>
    <w:rsid w:val="001F24B9"/>
    <w:rsid w:val="003C5233"/>
    <w:rsid w:val="007073E5"/>
    <w:rsid w:val="007170C0"/>
    <w:rsid w:val="008759EF"/>
    <w:rsid w:val="00965B75"/>
    <w:rsid w:val="00AB1A51"/>
    <w:rsid w:val="00C31990"/>
    <w:rsid w:val="00C94962"/>
    <w:rsid w:val="00CE5D13"/>
    <w:rsid w:val="00DE5F4F"/>
    <w:rsid w:val="00EC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935219"/>
  <w15:docId w15:val="{8C92972C-B195-FB46-AFB5-18507377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25</cp:revision>
  <cp:lastPrinted>2019-11-13T09:44:00Z</cp:lastPrinted>
  <dcterms:created xsi:type="dcterms:W3CDTF">2023-03-22T11:56:00Z</dcterms:created>
  <dcterms:modified xsi:type="dcterms:W3CDTF">2023-10-05T09:06:00Z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