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BCEB8" w14:textId="77777777" w:rsidR="00D83EAA" w:rsidRDefault="00000000">
      <w:pPr>
        <w:pStyle w:val="berschrift1"/>
        <w:numPr>
          <w:ilvl w:val="0"/>
          <w:numId w:val="1"/>
        </w:numPr>
        <w:rPr>
          <w:lang w:val="en-GB"/>
        </w:rPr>
      </w:pPr>
      <w:r>
        <w:rPr>
          <w:lang w:val="en-GB"/>
        </w:rPr>
        <w:t>20. Feria Tertia post Pentecosten (SC P 20)</w:t>
      </w:r>
    </w:p>
    <w:tbl>
      <w:tblPr>
        <w:tblStyle w:val="Tabellenraster"/>
        <w:tblW w:w="9064" w:type="dxa"/>
        <w:tblInd w:w="17" w:type="dxa"/>
        <w:tblLayout w:type="fixed"/>
        <w:tblLook w:val="04A0" w:firstRow="1" w:lastRow="0" w:firstColumn="1" w:lastColumn="0" w:noHBand="0" w:noVBand="1"/>
      </w:tblPr>
      <w:tblGrid>
        <w:gridCol w:w="4533"/>
        <w:gridCol w:w="4531"/>
      </w:tblGrid>
      <w:tr w:rsidR="00D83EAA" w14:paraId="7142C9F8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538614FA" w14:textId="77777777" w:rsidR="00D83EAA" w:rsidRDefault="00000000">
            <w:pPr>
              <w:pStyle w:val="Textkrper"/>
              <w:widowControl w:val="0"/>
              <w:rPr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Introit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59DF9422" w14:textId="77777777" w:rsidR="00D83EAA" w:rsidRDefault="00D83EAA">
            <w:pPr>
              <w:widowControl w:val="0"/>
              <w:rPr>
                <w:rFonts w:ascii="Adobe Garamond Pro" w:hAnsi="Adobe Garamond Pro"/>
                <w:b/>
                <w:sz w:val="22"/>
                <w:szCs w:val="22"/>
                <w:lang w:val="en-GB"/>
              </w:rPr>
            </w:pPr>
          </w:p>
        </w:tc>
      </w:tr>
      <w:tr w:rsidR="00D83EAA" w:rsidRPr="00F8658C" w14:paraId="07EC87D5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2A4B2555" w14:textId="77777777" w:rsidR="00D83EAA" w:rsidRDefault="00000000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Accipite iucunditatem gloriae vestrae, alleluia: gratias agentes Deo, alleluia: qui vos ad caelestia regna vocavit, alleluia, alleluia, alleluia.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1FE3F9A2" w14:textId="77777777" w:rsidR="00D83EAA" w:rsidRDefault="00000000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Receive the joy of your glory, alleluia: giving thanks to God, alleluia: who has called you into the heavenly realms, alleluia, alleluia, alleluia.</w:t>
            </w:r>
          </w:p>
        </w:tc>
      </w:tr>
      <w:tr w:rsidR="00D83EAA" w14:paraId="251917F1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1823B0E7" w14:textId="219FDB67" w:rsidR="00D83EAA" w:rsidRDefault="00000000">
            <w:pPr>
              <w:pStyle w:val="Textkrper"/>
              <w:widowControl w:val="0"/>
              <w:rPr>
                <w:lang w:val="en-GB"/>
              </w:rPr>
            </w:pPr>
            <w:r>
              <w:rPr>
                <w:rFonts w:eastAsia="MS Mincho"/>
                <w:szCs w:val="22"/>
                <w:lang w:val="en-GB"/>
              </w:rPr>
              <w:t>{</w:t>
            </w:r>
            <w:r w:rsidRPr="00F8658C">
              <w:rPr>
                <w:rFonts w:eastAsia="MS Mincho"/>
                <w:szCs w:val="22"/>
                <w:highlight w:val="cyan"/>
                <w:lang w:val="en-GB"/>
              </w:rPr>
              <w:t>V</w:t>
            </w:r>
            <w:r w:rsidR="00F8658C" w:rsidRPr="00F8658C">
              <w:rPr>
                <w:rFonts w:eastAsia="MS Mincho"/>
                <w:szCs w:val="22"/>
                <w:highlight w:val="cyan"/>
                <w:lang w:val="en-GB"/>
              </w:rPr>
              <w:t>.</w:t>
            </w:r>
            <w:r>
              <w:rPr>
                <w:rFonts w:eastAsia="MS Mincho"/>
                <w:szCs w:val="22"/>
                <w:lang w:val="en-GB"/>
              </w:rPr>
              <w:t>} Attendite popule meus legem meam: inclinate aurem vestram in verba oris mei.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2C463C13" w14:textId="1F3666D4" w:rsidR="00D83EAA" w:rsidRDefault="00F8658C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rFonts w:eastAsia="MS Mincho"/>
                <w:szCs w:val="22"/>
                <w:lang w:val="en-GB"/>
              </w:rPr>
              <w:t>{</w:t>
            </w:r>
            <w:r w:rsidRPr="00F8658C">
              <w:rPr>
                <w:rFonts w:eastAsia="MS Mincho"/>
                <w:szCs w:val="22"/>
                <w:highlight w:val="cyan"/>
                <w:lang w:val="en-GB"/>
              </w:rPr>
              <w:t>V.</w:t>
            </w:r>
            <w:r>
              <w:rPr>
                <w:rFonts w:eastAsia="MS Mincho"/>
                <w:szCs w:val="22"/>
                <w:lang w:val="en-GB"/>
              </w:rPr>
              <w:t xml:space="preserve">} </w:t>
            </w:r>
            <w:r w:rsidR="00000000">
              <w:rPr>
                <w:szCs w:val="22"/>
                <w:lang w:val="en-GB"/>
              </w:rPr>
              <w:t xml:space="preserve">Attend, O my people, to my law; incline your ears to the words of my mouth. </w:t>
            </w:r>
          </w:p>
          <w:p w14:paraId="1D7B7A8C" w14:textId="77777777" w:rsidR="00D83EAA" w:rsidRDefault="00000000">
            <w:pPr>
              <w:pStyle w:val="Textkrper"/>
              <w:widowControl w:val="0"/>
              <w:rPr>
                <w:i/>
                <w:i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(</w:t>
            </w:r>
            <w:r>
              <w:rPr>
                <w:i/>
                <w:iCs/>
                <w:szCs w:val="22"/>
                <w:lang w:val="en-GB"/>
              </w:rPr>
              <w:t>RDC</w:t>
            </w:r>
            <w:r>
              <w:rPr>
                <w:szCs w:val="22"/>
                <w:lang w:val="en-GB"/>
              </w:rPr>
              <w:t>)</w:t>
            </w:r>
          </w:p>
        </w:tc>
      </w:tr>
      <w:tr w:rsidR="00D83EAA" w14:paraId="75B61D26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4EB82C2D" w14:textId="77777777" w:rsidR="00D83EAA" w:rsidRDefault="00000000">
            <w:pPr>
              <w:pStyle w:val="Textkrper"/>
              <w:widowControl w:val="0"/>
              <w:rPr>
                <w:lang w:val="en-GB"/>
              </w:rPr>
            </w:pPr>
            <w:r>
              <w:rPr>
                <w:rFonts w:eastAsia="MS Mincho"/>
                <w:szCs w:val="22"/>
                <w:lang w:val="en-GB"/>
              </w:rPr>
              <w:t>Gloria Patri, et Filio, et Spiritui Sancto. Sicut erat in principio, et nunc, et semper, et in saecula saeculorum. Amen.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0A8399F6" w14:textId="77777777" w:rsidR="00D83EAA" w:rsidRDefault="00000000">
            <w:pPr>
              <w:pStyle w:val="Textkrper"/>
              <w:widowControl w:val="0"/>
              <w:rPr>
                <w:lang w:val="en-GB"/>
              </w:rPr>
            </w:pPr>
            <w:r>
              <w:rPr>
                <w:rFonts w:eastAsia="MS Mincho"/>
                <w:szCs w:val="22"/>
                <w:lang w:val="en-GB"/>
              </w:rPr>
              <w:t>Glory be to the Father, and to the Son, and to the Holy Ghost. As it was in the beginning, is now, and ever shall be, world without end. Amen.</w:t>
            </w:r>
          </w:p>
        </w:tc>
      </w:tr>
    </w:tbl>
    <w:p w14:paraId="66893024" w14:textId="77777777" w:rsidR="00D83EAA" w:rsidRDefault="00D83EAA">
      <w:pPr>
        <w:pStyle w:val="Textkrper"/>
        <w:rPr>
          <w:szCs w:val="22"/>
          <w:lang w:val="en-GB"/>
        </w:rPr>
      </w:pPr>
    </w:p>
    <w:tbl>
      <w:tblPr>
        <w:tblStyle w:val="Tabellenraster"/>
        <w:tblW w:w="9064" w:type="dxa"/>
        <w:tblInd w:w="17" w:type="dxa"/>
        <w:tblLayout w:type="fixed"/>
        <w:tblLook w:val="04A0" w:firstRow="1" w:lastRow="0" w:firstColumn="1" w:lastColumn="0" w:noHBand="0" w:noVBand="1"/>
      </w:tblPr>
      <w:tblGrid>
        <w:gridCol w:w="4533"/>
        <w:gridCol w:w="4531"/>
      </w:tblGrid>
      <w:tr w:rsidR="00D83EAA" w14:paraId="45EE5905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3808C04D" w14:textId="77777777" w:rsidR="00D83EAA" w:rsidRDefault="00000000">
            <w:pPr>
              <w:pStyle w:val="Textkrper"/>
              <w:widowControl w:val="0"/>
              <w:rPr>
                <w:lang w:val="en-GB"/>
              </w:rPr>
            </w:pPr>
            <w:r>
              <w:rPr>
                <w:i/>
                <w:iCs/>
                <w:lang w:val="en-GB"/>
              </w:rPr>
              <w:t>Communion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42C6210A" w14:textId="77777777" w:rsidR="00D83EAA" w:rsidRDefault="00D83EAA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</w:p>
        </w:tc>
      </w:tr>
      <w:tr w:rsidR="00D83EAA" w14:paraId="61B03107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63D9ED3B" w14:textId="77777777" w:rsidR="00D83EAA" w:rsidRDefault="00000000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Spiritus qui a Patre procedit, alleluia: ille me clarificabit, alleluia, alleluia.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3A6ED729" w14:textId="77777777" w:rsidR="00D83EAA" w:rsidRDefault="00000000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The Spirit who proceedeth from the Father, he shall praise me, alleluia, alleluia, alleluia. </w:t>
            </w:r>
          </w:p>
          <w:p w14:paraId="49411ADB" w14:textId="77777777" w:rsidR="00D83EAA" w:rsidRDefault="00000000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(adapted from RDC)</w:t>
            </w:r>
          </w:p>
        </w:tc>
      </w:tr>
    </w:tbl>
    <w:p w14:paraId="3F55C1D8" w14:textId="77777777" w:rsidR="00D83EAA" w:rsidRDefault="00000000">
      <w:pPr>
        <w:pStyle w:val="berschrift2"/>
        <w:numPr>
          <w:ilvl w:val="1"/>
          <w:numId w:val="1"/>
        </w:numPr>
        <w:rPr>
          <w:lang w:val="en-GB"/>
        </w:rPr>
      </w:pPr>
      <w:r>
        <w:rPr>
          <w:lang w:val="en-GB"/>
        </w:rPr>
        <w:t>Cantus firmus</w:t>
      </w:r>
    </w:p>
    <w:p w14:paraId="57FA4F50" w14:textId="0D3D6C6D" w:rsidR="00D83EAA" w:rsidRDefault="00000000">
      <w:pPr>
        <w:pStyle w:val="Textkrper"/>
        <w:rPr>
          <w:sz w:val="21"/>
          <w:szCs w:val="21"/>
          <w:lang w:val="en-GB"/>
        </w:rPr>
      </w:pPr>
      <w:r>
        <w:rPr>
          <w:sz w:val="21"/>
          <w:szCs w:val="21"/>
          <w:lang w:val="en-GB"/>
        </w:rPr>
        <w:t xml:space="preserve">A monophonic version, that </w:t>
      </w:r>
      <w:r w:rsidR="00A87ED4">
        <w:rPr>
          <w:sz w:val="21"/>
          <w:szCs w:val="21"/>
          <w:lang w:val="en-GB"/>
        </w:rPr>
        <w:t xml:space="preserve">closely </w:t>
      </w:r>
      <w:r>
        <w:rPr>
          <w:sz w:val="21"/>
          <w:szCs w:val="21"/>
          <w:lang w:val="en-GB"/>
        </w:rPr>
        <w:t xml:space="preserve">corresponds to Senfl’s bassus part can be found in the </w:t>
      </w:r>
      <w:r>
        <w:rPr>
          <w:i/>
          <w:iCs/>
          <w:sz w:val="21"/>
          <w:szCs w:val="21"/>
          <w:lang w:val="en-GB"/>
        </w:rPr>
        <w:t xml:space="preserve">Graduale Pataviense </w:t>
      </w:r>
      <w:r>
        <w:rPr>
          <w:sz w:val="21"/>
          <w:szCs w:val="21"/>
          <w:lang w:val="en-GB"/>
        </w:rPr>
        <w:t>(1511), fol. 98</w:t>
      </w:r>
      <w:r>
        <w:rPr>
          <w:sz w:val="21"/>
          <w:szCs w:val="21"/>
          <w:vertAlign w:val="superscript"/>
          <w:lang w:val="en-GB"/>
        </w:rPr>
        <w:t>r</w:t>
      </w:r>
      <w:r>
        <w:rPr>
          <w:sz w:val="21"/>
          <w:szCs w:val="21"/>
          <w:lang w:val="en-GB"/>
        </w:rPr>
        <w:t>. In the communion, Senfl sets the bassus a fifth lower than the version</w:t>
      </w:r>
      <w:r w:rsidR="00A87ED4">
        <w:rPr>
          <w:sz w:val="21"/>
          <w:szCs w:val="21"/>
          <w:lang w:val="en-GB"/>
        </w:rPr>
        <w:t xml:space="preserve"> </w:t>
      </w:r>
      <w:r>
        <w:rPr>
          <w:sz w:val="21"/>
          <w:szCs w:val="21"/>
          <w:lang w:val="en-GB"/>
        </w:rPr>
        <w:t xml:space="preserve">in the </w:t>
      </w:r>
      <w:r>
        <w:rPr>
          <w:i/>
          <w:iCs/>
          <w:sz w:val="21"/>
          <w:szCs w:val="21"/>
          <w:lang w:val="en-GB"/>
        </w:rPr>
        <w:t xml:space="preserve">Graduale Pataviense </w:t>
      </w:r>
      <w:r>
        <w:rPr>
          <w:sz w:val="21"/>
          <w:szCs w:val="21"/>
          <w:lang w:val="en-GB"/>
        </w:rPr>
        <w:t>(1511).</w:t>
      </w:r>
    </w:p>
    <w:p w14:paraId="38C193B8" w14:textId="77777777" w:rsidR="00D83EAA" w:rsidRDefault="00000000">
      <w:pPr>
        <w:pStyle w:val="berschrift2"/>
        <w:numPr>
          <w:ilvl w:val="1"/>
          <w:numId w:val="1"/>
        </w:numPr>
        <w:rPr>
          <w:lang w:val="en-GB"/>
        </w:rPr>
      </w:pPr>
      <w:r>
        <w:rPr>
          <w:lang w:val="en-GB"/>
        </w:rPr>
        <w:t>Unique Source</w:t>
      </w:r>
    </w:p>
    <w:tbl>
      <w:tblPr>
        <w:tblStyle w:val="Tabellenraster"/>
        <w:tblW w:w="8901" w:type="dxa"/>
        <w:tblInd w:w="17" w:type="dxa"/>
        <w:tblLayout w:type="fixed"/>
        <w:tblLook w:val="04A0" w:firstRow="1" w:lastRow="0" w:firstColumn="1" w:lastColumn="0" w:noHBand="0" w:noVBand="1"/>
      </w:tblPr>
      <w:tblGrid>
        <w:gridCol w:w="809"/>
        <w:gridCol w:w="8092"/>
      </w:tblGrid>
      <w:tr w:rsidR="00D83EAA" w:rsidRPr="00A7649A" w14:paraId="53236FAC" w14:textId="77777777"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754CC3A5" w14:textId="77777777" w:rsidR="00D83EAA" w:rsidRDefault="00000000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  <w:r>
              <w:rPr>
                <w:b/>
                <w:szCs w:val="22"/>
                <w:lang w:val="en-GB"/>
              </w:rPr>
              <w:t>Mun</w:t>
            </w:r>
            <w:r>
              <w:rPr>
                <w:b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8091" w:type="dxa"/>
            <w:tcBorders>
              <w:top w:val="nil"/>
              <w:left w:val="nil"/>
              <w:bottom w:val="nil"/>
              <w:right w:val="nil"/>
            </w:tcBorders>
          </w:tcPr>
          <w:p w14:paraId="1CFA8DED" w14:textId="74FDBC0C" w:rsidR="00D83EAA" w:rsidRDefault="00000000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D-Mbs Mus.ms. 36, [nos. 8–9], fols. 41</w:t>
            </w:r>
            <w:r>
              <w:rPr>
                <w:szCs w:val="22"/>
                <w:vertAlign w:val="superscript"/>
                <w:lang w:val="en-GB"/>
              </w:rPr>
              <w:t>v</w:t>
            </w:r>
            <w:r>
              <w:rPr>
                <w:szCs w:val="22"/>
                <w:lang w:val="en-GB"/>
              </w:rPr>
              <w:t>–47</w:t>
            </w:r>
            <w:r>
              <w:rPr>
                <w:szCs w:val="22"/>
                <w:vertAlign w:val="superscript"/>
                <w:lang w:val="en-GB"/>
              </w:rPr>
              <w:t>r</w:t>
            </w:r>
            <w:r>
              <w:rPr>
                <w:szCs w:val="22"/>
                <w:lang w:val="en-GB"/>
              </w:rPr>
              <w:t xml:space="preserve"> (D, Ct, T, B),</w:t>
            </w:r>
            <w:r w:rsidR="00A7649A">
              <w:rPr>
                <w:szCs w:val="22"/>
                <w:lang w:val="en-GB"/>
              </w:rPr>
              <w:t xml:space="preserve"> </w:t>
            </w:r>
            <w:r w:rsidR="00A7649A">
              <w:rPr>
                <w:i/>
                <w:iCs/>
                <w:szCs w:val="22"/>
                <w:lang w:val="en-GB"/>
              </w:rPr>
              <w:t>L. S.</w:t>
            </w:r>
            <w:r w:rsidR="00A7649A">
              <w:rPr>
                <w:szCs w:val="22"/>
                <w:lang w:val="en-GB"/>
              </w:rPr>
              <w:t>, heading</w:t>
            </w:r>
            <w:r>
              <w:rPr>
                <w:szCs w:val="22"/>
                <w:lang w:val="en-GB"/>
              </w:rPr>
              <w:t xml:space="preserve">: </w:t>
            </w:r>
            <w:r>
              <w:rPr>
                <w:i/>
                <w:iCs/>
                <w:szCs w:val="22"/>
                <w:lang w:val="en-GB"/>
              </w:rPr>
              <w:t>Feria tertia: Introit</w:t>
            </w:r>
            <w:r>
              <w:rPr>
                <w:szCs w:val="22"/>
                <w:lang w:val="en-GB"/>
              </w:rPr>
              <w:t>[</w:t>
            </w:r>
            <w:r>
              <w:rPr>
                <w:i/>
                <w:iCs/>
                <w:szCs w:val="22"/>
                <w:lang w:val="en-GB"/>
              </w:rPr>
              <w:t>us</w:t>
            </w:r>
            <w:r>
              <w:rPr>
                <w:szCs w:val="22"/>
                <w:lang w:val="en-GB"/>
              </w:rPr>
              <w:t>]</w:t>
            </w:r>
            <w:r>
              <w:rPr>
                <w:i/>
                <w:iCs/>
                <w:szCs w:val="22"/>
                <w:lang w:val="en-GB"/>
              </w:rPr>
              <w:t>.</w:t>
            </w:r>
            <w:r w:rsidRPr="00A7649A">
              <w:rPr>
                <w:szCs w:val="22"/>
                <w:lang w:val="en-GB"/>
              </w:rPr>
              <w:t>,</w:t>
            </w:r>
            <w:r w:rsidR="00A7649A">
              <w:rPr>
                <w:szCs w:val="22"/>
                <w:lang w:val="en-GB"/>
              </w:rPr>
              <w:t xml:space="preserve"> text in all voices</w:t>
            </w:r>
          </w:p>
        </w:tc>
      </w:tr>
    </w:tbl>
    <w:p w14:paraId="11800AA1" w14:textId="77777777" w:rsidR="00D83EAA" w:rsidRDefault="00000000">
      <w:pPr>
        <w:pStyle w:val="berschrift2"/>
        <w:numPr>
          <w:ilvl w:val="2"/>
          <w:numId w:val="1"/>
        </w:numPr>
        <w:rPr>
          <w:lang w:val="en-GB"/>
        </w:rPr>
      </w:pPr>
      <w:r>
        <w:rPr>
          <w:lang w:val="en-GB"/>
        </w:rPr>
        <w:t>Remarks</w:t>
      </w:r>
    </w:p>
    <w:p w14:paraId="7824809A" w14:textId="77777777" w:rsidR="00D83EAA" w:rsidRDefault="00000000">
      <w:pPr>
        <w:pStyle w:val="Textkrper"/>
        <w:numPr>
          <w:ilvl w:val="0"/>
          <w:numId w:val="2"/>
        </w:numPr>
        <w:rPr>
          <w:lang w:val="en-GB"/>
        </w:rPr>
      </w:pPr>
      <w:r>
        <w:rPr>
          <w:lang w:val="en-GB"/>
        </w:rPr>
        <w:t xml:space="preserve">Senfl’s introit and communion stand alone and do not complete other existing settings in the source (as, e.g. P 9 in </w:t>
      </w:r>
      <w:r>
        <w:rPr>
          <w:b/>
          <w:bCs/>
          <w:lang w:val="en-GB"/>
        </w:rPr>
        <w:t>Mun</w:t>
      </w:r>
      <w:r>
        <w:rPr>
          <w:b/>
          <w:bCs/>
          <w:vertAlign w:val="superscript"/>
          <w:lang w:val="en-GB"/>
        </w:rPr>
        <w:t>4</w:t>
      </w:r>
      <w:r>
        <w:rPr>
          <w:lang w:val="en-GB"/>
        </w:rPr>
        <w:t>)</w:t>
      </w:r>
    </w:p>
    <w:sectPr w:rsidR="00D83EAA">
      <w:pgSz w:w="11906" w:h="16838"/>
      <w:pgMar w:top="1417" w:right="1417" w:bottom="1134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dobe Garamond Pro">
    <w:panose1 w:val="020B0604020202020204"/>
    <w:charset w:val="4D"/>
    <w:family w:val="roman"/>
    <w:notTrueType/>
    <w:pitch w:val="variable"/>
    <w:sig w:usb0="00000007" w:usb1="00000001" w:usb2="00000000" w:usb3="00000000" w:csb0="00000093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ans">
    <w:altName w:val="Arial"/>
    <w:panose1 w:val="020B0604020202020204"/>
    <w:charset w:val="00"/>
    <w:family w:val="roman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75191"/>
    <w:multiLevelType w:val="multilevel"/>
    <w:tmpl w:val="C6E01F4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4853E5F"/>
    <w:multiLevelType w:val="multilevel"/>
    <w:tmpl w:val="E5907BA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6E476D8F"/>
    <w:multiLevelType w:val="multilevel"/>
    <w:tmpl w:val="C5BA20F8"/>
    <w:lvl w:ilvl="0">
      <w:start w:val="1"/>
      <w:numFmt w:val="bullet"/>
      <w:lvlText w:val=""/>
      <w:lvlJc w:val="left"/>
      <w:pPr>
        <w:tabs>
          <w:tab w:val="num" w:pos="0"/>
        </w:tabs>
        <w:ind w:left="363" w:hanging="363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666278347">
    <w:abstractNumId w:val="1"/>
  </w:num>
  <w:num w:numId="2" w16cid:durableId="1059136772">
    <w:abstractNumId w:val="2"/>
  </w:num>
  <w:num w:numId="3" w16cid:durableId="1341020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defaultTabStop w:val="284"/>
  <w:autoHyphenation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AA"/>
    <w:rsid w:val="00A7649A"/>
    <w:rsid w:val="00A87ED4"/>
    <w:rsid w:val="00D83EAA"/>
    <w:rsid w:val="00F86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DF5FE37"/>
  <w15:docId w15:val="{E13B9F6B-AF9D-C747-9424-421F81031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Cs w:val="24"/>
        <w:lang w:val="de-DE" w:eastAsia="de-DE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5262B"/>
    <w:rPr>
      <w:sz w:val="24"/>
    </w:rPr>
  </w:style>
  <w:style w:type="paragraph" w:styleId="berschrift1">
    <w:name w:val="heading 1"/>
    <w:basedOn w:val="berschrift"/>
    <w:next w:val="Textkrper"/>
    <w:qFormat/>
    <w:pPr>
      <w:spacing w:before="0" w:after="283"/>
      <w:outlineLvl w:val="0"/>
    </w:pPr>
    <w:rPr>
      <w:rFonts w:ascii="Adobe Garamond Pro" w:hAnsi="Adobe Garamond Pro"/>
      <w:b/>
      <w:bCs/>
      <w:sz w:val="22"/>
      <w:szCs w:val="36"/>
    </w:rPr>
  </w:style>
  <w:style w:type="paragraph" w:styleId="berschrift2">
    <w:name w:val="heading 2"/>
    <w:basedOn w:val="berschrift"/>
    <w:next w:val="Textkrper"/>
    <w:qFormat/>
    <w:pPr>
      <w:spacing w:before="283" w:after="0"/>
      <w:outlineLvl w:val="1"/>
    </w:pPr>
    <w:rPr>
      <w:rFonts w:ascii="Adobe Garamond Pro" w:hAnsi="Adobe Garamond Pro"/>
      <w:b/>
      <w:bCs/>
      <w:sz w:val="22"/>
      <w:szCs w:val="32"/>
    </w:rPr>
  </w:style>
  <w:style w:type="paragraph" w:styleId="berschrift3">
    <w:name w:val="heading 3"/>
    <w:basedOn w:val="berschrift"/>
    <w:next w:val="Textkrper"/>
    <w:qFormat/>
    <w:pPr>
      <w:spacing w:before="283" w:after="0"/>
      <w:outlineLvl w:val="2"/>
    </w:pPr>
    <w:rPr>
      <w:rFonts w:ascii="Adobe Garamond Pro" w:hAnsi="Adobe Garamond Pro"/>
      <w:b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KopfzeileZchn">
    <w:name w:val="Kopfzeile Zchn"/>
    <w:basedOn w:val="Absatz-Standardschriftart"/>
    <w:link w:val="Kopfzeile"/>
    <w:uiPriority w:val="99"/>
    <w:qFormat/>
    <w:rsid w:val="003312CB"/>
  </w:style>
  <w:style w:type="character" w:customStyle="1" w:styleId="FuzeileZchn">
    <w:name w:val="Fußzeile Zchn"/>
    <w:basedOn w:val="Absatz-Standardschriftart"/>
    <w:link w:val="Fuzeile"/>
    <w:uiPriority w:val="99"/>
    <w:qFormat/>
    <w:rsid w:val="003312CB"/>
  </w:style>
  <w:style w:type="character" w:customStyle="1" w:styleId="FunotentextZchn">
    <w:name w:val="Fußnotentext Zchn"/>
    <w:basedOn w:val="Absatz-Standardschriftart"/>
    <w:link w:val="Funotentext"/>
    <w:uiPriority w:val="99"/>
    <w:semiHidden/>
    <w:qFormat/>
    <w:rsid w:val="00740B7B"/>
    <w:rPr>
      <w:sz w:val="20"/>
      <w:szCs w:val="20"/>
    </w:rPr>
  </w:style>
  <w:style w:type="character" w:customStyle="1" w:styleId="Funotenzeichen1">
    <w:name w:val="Fußnotenzeichen1"/>
    <w:rPr>
      <w:vertAlign w:val="superscript"/>
    </w:rPr>
  </w:style>
  <w:style w:type="character" w:customStyle="1" w:styleId="FootnoteCharacters">
    <w:name w:val="Footnote Characters"/>
    <w:qFormat/>
    <w:rsid w:val="00740B7B"/>
    <w:rPr>
      <w:vertAlign w:val="superscript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krper">
    <w:name w:val="Body Text"/>
    <w:basedOn w:val="Standard"/>
    <w:rPr>
      <w:rFonts w:ascii="Adobe Garamond Pro" w:hAnsi="Adobe Garamond Pro"/>
      <w:sz w:val="22"/>
    </w:rPr>
  </w:style>
  <w:style w:type="paragraph" w:styleId="Liste">
    <w:name w:val="List"/>
    <w:basedOn w:val="Textkrper"/>
    <w:rPr>
      <w:rFonts w:cs="Ari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"/>
    </w:rPr>
  </w:style>
  <w:style w:type="paragraph" w:customStyle="1" w:styleId="Kopf-undFuzeile">
    <w:name w:val="Kopf- und Fußzeile"/>
    <w:basedOn w:val="Standard"/>
    <w:qFormat/>
  </w:style>
  <w:style w:type="paragraph" w:styleId="Kopfzeile">
    <w:name w:val="header"/>
    <w:basedOn w:val="Standard"/>
    <w:link w:val="KopfzeileZchn"/>
    <w:uiPriority w:val="99"/>
    <w:unhideWhenUsed/>
    <w:rsid w:val="003312CB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unhideWhenUsed/>
    <w:rsid w:val="003312CB"/>
    <w:pPr>
      <w:tabs>
        <w:tab w:val="center" w:pos="4536"/>
        <w:tab w:val="right" w:pos="9072"/>
      </w:tabs>
    </w:pPr>
  </w:style>
  <w:style w:type="paragraph" w:styleId="Listenabsatz">
    <w:name w:val="List Paragraph"/>
    <w:qFormat/>
    <w:rsid w:val="000E02C5"/>
    <w:pPr>
      <w:spacing w:after="60" w:line="320" w:lineRule="exact"/>
      <w:ind w:left="720"/>
    </w:pPr>
    <w:rPr>
      <w:rFonts w:ascii="Cambria" w:eastAsia="Cambria" w:hAnsi="Cambria" w:cs="Cambria"/>
      <w:color w:val="000000"/>
      <w:sz w:val="24"/>
      <w:u w:color="000000"/>
      <w:lang w:eastAsia="en-US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740B7B"/>
    <w:rPr>
      <w:sz w:val="20"/>
      <w:szCs w:val="20"/>
    </w:rPr>
  </w:style>
  <w:style w:type="paragraph" w:customStyle="1" w:styleId="Tabelleninhalt">
    <w:name w:val="Tabelleninhalt"/>
    <w:basedOn w:val="Standard"/>
    <w:qFormat/>
    <w:pPr>
      <w:widowControl w:val="0"/>
      <w:suppressLineNumbers/>
    </w:pPr>
  </w:style>
  <w:style w:type="paragraph" w:customStyle="1" w:styleId="Tabellenberschrift">
    <w:name w:val="Tabellenüberschrift"/>
    <w:basedOn w:val="Tabelleninhalt"/>
    <w:qFormat/>
    <w:pPr>
      <w:jc w:val="center"/>
    </w:pPr>
    <w:rPr>
      <w:b/>
      <w:bCs/>
    </w:rPr>
  </w:style>
  <w:style w:type="paragraph" w:customStyle="1" w:styleId="NormaleTabelle1">
    <w:name w:val="Normale Tabelle1"/>
    <w:qFormat/>
    <w:rPr>
      <w:rFonts w:eastAsia="Cambria" w:cs="Cambria"/>
    </w:rPr>
  </w:style>
  <w:style w:type="table" w:styleId="Tabellenraster">
    <w:name w:val="Table Grid"/>
    <w:basedOn w:val="NormaleTabelle"/>
    <w:uiPriority w:val="59"/>
    <w:rsid w:val="00527B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1309</Characters>
  <Application>Microsoft Office Word</Application>
  <DocSecurity>0</DocSecurity>
  <Lines>10</Lines>
  <Paragraphs>3</Paragraphs>
  <ScaleCrop>false</ScaleCrop>
  <Company/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Stefan Gasch</cp:lastModifiedBy>
  <cp:revision>16</cp:revision>
  <cp:lastPrinted>2019-11-13T09:44:00Z</cp:lastPrinted>
  <dcterms:created xsi:type="dcterms:W3CDTF">2023-03-13T12:04:00Z</dcterms:created>
  <dcterms:modified xsi:type="dcterms:W3CDTF">2023-12-04T14:55:00Z</dcterms:modified>
  <dc:language>de-AT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