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BE1B3" w14:textId="77777777" w:rsidR="001E77D4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9. In Festo S. </w:t>
      </w:r>
      <w:proofErr w:type="spellStart"/>
      <w:r>
        <w:rPr>
          <w:lang w:val="en-GB"/>
        </w:rPr>
        <w:t>Johanni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Evangelistae</w:t>
      </w:r>
      <w:proofErr w:type="spellEnd"/>
      <w:r>
        <w:rPr>
          <w:lang w:val="en-GB"/>
        </w:rPr>
        <w:t xml:space="preserve"> (SC P 9)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1E77D4" w14:paraId="6BE41F0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7FE5A35" w14:textId="77777777" w:rsidR="001E77D4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3D7765A" w14:textId="77777777" w:rsidR="001E77D4" w:rsidRDefault="001E77D4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1E77D4" w14:paraId="345B488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987428F" w14:textId="77777777" w:rsidR="001E77D4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In medio Ecclesiae </w:t>
            </w:r>
            <w:proofErr w:type="spellStart"/>
            <w:r>
              <w:rPr>
                <w:szCs w:val="22"/>
                <w:lang w:val="en-GB"/>
              </w:rPr>
              <w:t>aperuit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os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eius</w:t>
            </w:r>
            <w:proofErr w:type="spellEnd"/>
            <w:r>
              <w:rPr>
                <w:szCs w:val="22"/>
                <w:lang w:val="en-GB"/>
              </w:rPr>
              <w:t xml:space="preserve">: et </w:t>
            </w:r>
            <w:proofErr w:type="spellStart"/>
            <w:r>
              <w:rPr>
                <w:szCs w:val="22"/>
                <w:lang w:val="en-GB"/>
              </w:rPr>
              <w:t>implevit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eum</w:t>
            </w:r>
            <w:proofErr w:type="spellEnd"/>
            <w:r>
              <w:rPr>
                <w:szCs w:val="22"/>
                <w:lang w:val="en-GB"/>
              </w:rPr>
              <w:t xml:space="preserve"> Dominus </w:t>
            </w:r>
            <w:proofErr w:type="spellStart"/>
            <w:r>
              <w:rPr>
                <w:szCs w:val="22"/>
                <w:lang w:val="en-GB"/>
              </w:rPr>
              <w:t>spiritu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sapientiae</w:t>
            </w:r>
            <w:proofErr w:type="spellEnd"/>
            <w:r>
              <w:rPr>
                <w:szCs w:val="22"/>
                <w:lang w:val="en-GB"/>
              </w:rPr>
              <w:t xml:space="preserve">, et </w:t>
            </w:r>
            <w:proofErr w:type="spellStart"/>
            <w:r>
              <w:rPr>
                <w:szCs w:val="22"/>
                <w:lang w:val="en-GB"/>
              </w:rPr>
              <w:t>intellectus</w:t>
            </w:r>
            <w:proofErr w:type="spellEnd"/>
            <w:r>
              <w:rPr>
                <w:szCs w:val="22"/>
                <w:lang w:val="en-GB"/>
              </w:rPr>
              <w:t xml:space="preserve">: </w:t>
            </w:r>
            <w:proofErr w:type="spellStart"/>
            <w:r>
              <w:rPr>
                <w:szCs w:val="22"/>
                <w:lang w:val="en-GB"/>
              </w:rPr>
              <w:t>stolam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gloriae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induit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eum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5113AE5" w14:textId="77777777" w:rsidR="001E77D4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In the midst of the </w:t>
            </w:r>
            <w:proofErr w:type="gramStart"/>
            <w:r>
              <w:rPr>
                <w:szCs w:val="22"/>
                <w:lang w:val="en-GB"/>
              </w:rPr>
              <w:t>church</w:t>
            </w:r>
            <w:proofErr w:type="gramEnd"/>
            <w:r>
              <w:rPr>
                <w:szCs w:val="22"/>
                <w:lang w:val="en-GB"/>
              </w:rPr>
              <w:t xml:space="preserve"> she has opened his mouth and has filled him with the Lord’s spirit of wisdom and understanding and has clothed him with a robe of glory.</w:t>
            </w:r>
          </w:p>
          <w:p w14:paraId="410D3FF4" w14:textId="77777777" w:rsidR="001E77D4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(adapted from 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1E77D4" w14:paraId="5A7386C3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CFA81E4" w14:textId="22057479" w:rsidR="001E77D4" w:rsidRDefault="000A4D46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0A4D46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proofErr w:type="spellStart"/>
            <w:r w:rsidR="00000000">
              <w:rPr>
                <w:rFonts w:eastAsia="MS Mincho"/>
                <w:szCs w:val="22"/>
                <w:lang w:val="en-GB"/>
              </w:rPr>
              <w:t>Bonum</w:t>
            </w:r>
            <w:proofErr w:type="spellEnd"/>
            <w:r w:rsidR="00000000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000000">
              <w:rPr>
                <w:rFonts w:eastAsia="MS Mincho"/>
                <w:szCs w:val="22"/>
                <w:lang w:val="en-GB"/>
              </w:rPr>
              <w:t>est</w:t>
            </w:r>
            <w:proofErr w:type="spellEnd"/>
            <w:r w:rsidR="00000000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000000">
              <w:rPr>
                <w:rFonts w:eastAsia="MS Mincho"/>
                <w:szCs w:val="22"/>
                <w:lang w:val="en-GB"/>
              </w:rPr>
              <w:t>confiteri</w:t>
            </w:r>
            <w:proofErr w:type="spellEnd"/>
            <w:r w:rsidR="00000000">
              <w:rPr>
                <w:rFonts w:eastAsia="MS Mincho"/>
                <w:szCs w:val="22"/>
                <w:lang w:val="en-GB"/>
              </w:rPr>
              <w:t xml:space="preserve"> Domino: et </w:t>
            </w:r>
            <w:proofErr w:type="spellStart"/>
            <w:r w:rsidR="00000000">
              <w:rPr>
                <w:rFonts w:eastAsia="MS Mincho"/>
                <w:szCs w:val="22"/>
                <w:lang w:val="en-GB"/>
              </w:rPr>
              <w:t>psallere</w:t>
            </w:r>
            <w:proofErr w:type="spellEnd"/>
            <w:r w:rsidR="00000000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000000">
              <w:rPr>
                <w:rFonts w:eastAsia="MS Mincho"/>
                <w:szCs w:val="22"/>
                <w:lang w:val="en-GB"/>
              </w:rPr>
              <w:t>nomini</w:t>
            </w:r>
            <w:proofErr w:type="spellEnd"/>
            <w:r w:rsidR="00000000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000000">
              <w:rPr>
                <w:rFonts w:eastAsia="MS Mincho"/>
                <w:szCs w:val="22"/>
                <w:lang w:val="en-GB"/>
              </w:rPr>
              <w:t>tuo</w:t>
            </w:r>
            <w:proofErr w:type="spellEnd"/>
            <w:r w:rsidR="00000000">
              <w:rPr>
                <w:rFonts w:eastAsia="MS Mincho"/>
                <w:szCs w:val="22"/>
                <w:lang w:val="en-GB"/>
              </w:rPr>
              <w:t xml:space="preserve">, </w:t>
            </w:r>
            <w:proofErr w:type="spellStart"/>
            <w:r w:rsidR="00000000">
              <w:rPr>
                <w:rFonts w:eastAsia="MS Mincho"/>
                <w:szCs w:val="22"/>
                <w:lang w:val="en-GB"/>
              </w:rPr>
              <w:t>Altissime</w:t>
            </w:r>
            <w:proofErr w:type="spellEnd"/>
            <w:r w:rsidR="00000000">
              <w:rPr>
                <w:rFonts w:eastAsia="MS Mincho"/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155E4AB" w14:textId="52460EC0" w:rsidR="001E77D4" w:rsidRDefault="000A4D4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0A4D46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>}</w:t>
            </w:r>
            <w:r>
              <w:rPr>
                <w:rFonts w:eastAsia="MS Mincho"/>
                <w:szCs w:val="22"/>
                <w:lang w:val="en-GB"/>
              </w:rPr>
              <w:t xml:space="preserve"> </w:t>
            </w:r>
            <w:r w:rsidR="00000000">
              <w:rPr>
                <w:szCs w:val="22"/>
                <w:lang w:val="en-GB"/>
              </w:rPr>
              <w:t>It is good to give praise to the Lord and sing to thy name, O Most High.</w:t>
            </w:r>
          </w:p>
          <w:p w14:paraId="7732299E" w14:textId="77777777" w:rsidR="001E77D4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(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1E77D4" w14:paraId="5712527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D05C421" w14:textId="77777777" w:rsidR="001E77D4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Filio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141DEF0" w14:textId="77777777" w:rsidR="001E77D4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74F25853" w14:textId="77777777" w:rsidR="001E77D4" w:rsidRDefault="001E77D4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1E77D4" w14:paraId="762BC95A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0335D32" w14:textId="77777777" w:rsidR="001E77D4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D8AF027" w14:textId="77777777" w:rsidR="001E77D4" w:rsidRDefault="001E77D4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1E77D4" w14:paraId="1CE841D3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8D882F3" w14:textId="77777777" w:rsidR="001E77D4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Exiit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sermo</w:t>
            </w:r>
            <w:proofErr w:type="spellEnd"/>
            <w:r>
              <w:rPr>
                <w:szCs w:val="22"/>
                <w:lang w:val="en-GB"/>
              </w:rPr>
              <w:t xml:space="preserve"> inter </w:t>
            </w:r>
            <w:proofErr w:type="spellStart"/>
            <w:r>
              <w:rPr>
                <w:szCs w:val="22"/>
                <w:lang w:val="en-GB"/>
              </w:rPr>
              <w:t>fratres</w:t>
            </w:r>
            <w:proofErr w:type="spellEnd"/>
            <w:r>
              <w:rPr>
                <w:szCs w:val="22"/>
                <w:lang w:val="en-GB"/>
              </w:rPr>
              <w:t xml:space="preserve">, quod </w:t>
            </w:r>
            <w:proofErr w:type="spellStart"/>
            <w:r>
              <w:rPr>
                <w:szCs w:val="22"/>
                <w:lang w:val="en-GB"/>
              </w:rPr>
              <w:t>discipulus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ille</w:t>
            </w:r>
            <w:proofErr w:type="spellEnd"/>
            <w:r>
              <w:rPr>
                <w:szCs w:val="22"/>
                <w:lang w:val="en-GB"/>
              </w:rPr>
              <w:t xml:space="preserve"> non </w:t>
            </w:r>
            <w:proofErr w:type="spellStart"/>
            <w:r>
              <w:rPr>
                <w:szCs w:val="22"/>
                <w:lang w:val="en-GB"/>
              </w:rPr>
              <w:t>moritur</w:t>
            </w:r>
            <w:proofErr w:type="spellEnd"/>
            <w:r>
              <w:rPr>
                <w:szCs w:val="22"/>
                <w:lang w:val="en-GB"/>
              </w:rPr>
              <w:t xml:space="preserve">: </w:t>
            </w:r>
            <w:proofErr w:type="spellStart"/>
            <w:r>
              <w:rPr>
                <w:szCs w:val="22"/>
                <w:lang w:val="en-GB"/>
              </w:rPr>
              <w:t>sed</w:t>
            </w:r>
            <w:proofErr w:type="spellEnd"/>
            <w:r>
              <w:rPr>
                <w:szCs w:val="22"/>
                <w:lang w:val="en-GB"/>
              </w:rPr>
              <w:t xml:space="preserve"> ‘sic </w:t>
            </w:r>
            <w:proofErr w:type="spellStart"/>
            <w:r>
              <w:rPr>
                <w:szCs w:val="22"/>
                <w:lang w:val="en-GB"/>
              </w:rPr>
              <w:t>eum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volo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manere</w:t>
            </w:r>
            <w:proofErr w:type="spellEnd"/>
            <w:r>
              <w:rPr>
                <w:szCs w:val="22"/>
                <w:lang w:val="en-GB"/>
              </w:rPr>
              <w:t xml:space="preserve">, </w:t>
            </w:r>
            <w:proofErr w:type="spellStart"/>
            <w:r>
              <w:rPr>
                <w:szCs w:val="22"/>
                <w:lang w:val="en-GB"/>
              </w:rPr>
              <w:t>donec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veniam</w:t>
            </w:r>
            <w:proofErr w:type="spellEnd"/>
            <w:r>
              <w:rPr>
                <w:szCs w:val="22"/>
                <w:lang w:val="en-GB"/>
              </w:rPr>
              <w:t>.’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524647D" w14:textId="77777777" w:rsidR="001E77D4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The saying went abroad among the brethren, that that disciple </w:t>
            </w:r>
            <w:proofErr w:type="spellStart"/>
            <w:r>
              <w:rPr>
                <w:szCs w:val="22"/>
                <w:lang w:val="en-GB"/>
              </w:rPr>
              <w:t>schould</w:t>
            </w:r>
            <w:proofErr w:type="spellEnd"/>
            <w:r>
              <w:rPr>
                <w:szCs w:val="22"/>
                <w:lang w:val="en-GB"/>
              </w:rPr>
              <w:t xml:space="preserve"> not </w:t>
            </w:r>
            <w:proofErr w:type="gramStart"/>
            <w:r>
              <w:rPr>
                <w:szCs w:val="22"/>
                <w:lang w:val="en-GB"/>
              </w:rPr>
              <w:t>die:</w:t>
            </w:r>
            <w:proofErr w:type="gramEnd"/>
            <w:r>
              <w:rPr>
                <w:szCs w:val="22"/>
                <w:lang w:val="en-GB"/>
              </w:rPr>
              <w:t xml:space="preserve"> but ‘So I will have him to remain till I come.’</w:t>
            </w:r>
          </w:p>
          <w:p w14:paraId="103002CE" w14:textId="77777777" w:rsidR="001E77D4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(adapted from 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</w:tbl>
    <w:p w14:paraId="1531FCD8" w14:textId="77777777" w:rsidR="001E77D4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t>Text</w:t>
      </w:r>
    </w:p>
    <w:p w14:paraId="39BD9EFF" w14:textId="77777777" w:rsidR="001E77D4" w:rsidRDefault="00000000">
      <w:pPr>
        <w:pStyle w:val="Textkrper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In the Communion, the </w:t>
      </w:r>
      <w:proofErr w:type="spellStart"/>
      <w:r>
        <w:rPr>
          <w:i/>
          <w:iCs/>
          <w:lang w:val="en-GB"/>
        </w:rPr>
        <w:t>Missale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Frisingense</w:t>
      </w:r>
      <w:proofErr w:type="spellEnd"/>
      <w:r>
        <w:rPr>
          <w:lang w:val="en-GB"/>
        </w:rPr>
        <w:t xml:space="preserve"> (1520), fol. 14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, notes the passage ‘et non dixit Jesus’ following the text ‘non </w:t>
      </w:r>
      <w:proofErr w:type="spellStart"/>
      <w:r>
        <w:rPr>
          <w:lang w:val="en-GB"/>
        </w:rPr>
        <w:t>moritur</w:t>
      </w:r>
      <w:proofErr w:type="spellEnd"/>
      <w:r>
        <w:rPr>
          <w:lang w:val="en-GB"/>
        </w:rPr>
        <w:t>’. This passage is missing from Senfl’s polyphonic setting of the text.</w:t>
      </w:r>
    </w:p>
    <w:p w14:paraId="3A895CC7" w14:textId="77777777" w:rsidR="001E77D4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42B9045A" w14:textId="77777777" w:rsidR="001E77D4" w:rsidRDefault="00000000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For the introit, the </w:t>
      </w:r>
      <w:proofErr w:type="spellStart"/>
      <w:r>
        <w:rPr>
          <w:sz w:val="21"/>
          <w:szCs w:val="21"/>
          <w:lang w:val="en-GB"/>
        </w:rPr>
        <w:t>bassus</w:t>
      </w:r>
      <w:proofErr w:type="spellEnd"/>
      <w:r>
        <w:rPr>
          <w:sz w:val="21"/>
          <w:szCs w:val="21"/>
          <w:lang w:val="en-GB"/>
        </w:rPr>
        <w:t xml:space="preserve"> part in Senfl’s polyphonic setting is largely identical on a </w:t>
      </w:r>
      <w:proofErr w:type="spellStart"/>
      <w:r>
        <w:rPr>
          <w:sz w:val="21"/>
          <w:szCs w:val="21"/>
          <w:lang w:val="en-GB"/>
        </w:rPr>
        <w:t>diastematic</w:t>
      </w:r>
      <w:proofErr w:type="spellEnd"/>
      <w:r>
        <w:rPr>
          <w:sz w:val="21"/>
          <w:szCs w:val="21"/>
          <w:lang w:val="en-GB"/>
        </w:rPr>
        <w:t xml:space="preserve"> level to the monophonic version in the </w:t>
      </w:r>
      <w:proofErr w:type="spellStart"/>
      <w:r>
        <w:rPr>
          <w:i/>
          <w:iCs/>
          <w:sz w:val="21"/>
          <w:szCs w:val="21"/>
          <w:lang w:val="en-GB"/>
        </w:rPr>
        <w:t>Graduale</w:t>
      </w:r>
      <w:proofErr w:type="spellEnd"/>
      <w:r>
        <w:rPr>
          <w:i/>
          <w:iCs/>
          <w:sz w:val="21"/>
          <w:szCs w:val="21"/>
          <w:lang w:val="en-GB"/>
        </w:rPr>
        <w:t xml:space="preserve"> Gregorianum</w:t>
      </w:r>
      <w:r>
        <w:rPr>
          <w:sz w:val="21"/>
          <w:szCs w:val="21"/>
          <w:lang w:val="en-GB"/>
        </w:rPr>
        <w:t xml:space="preserve"> (1510), fol. 12</w:t>
      </w:r>
      <w:r>
        <w:rPr>
          <w:sz w:val="21"/>
          <w:szCs w:val="21"/>
          <w:vertAlign w:val="superscript"/>
          <w:lang w:val="en-GB"/>
        </w:rPr>
        <w:t>r</w:t>
      </w:r>
      <w:r>
        <w:rPr>
          <w:sz w:val="21"/>
          <w:szCs w:val="21"/>
          <w:lang w:val="en-GB"/>
        </w:rPr>
        <w:t xml:space="preserve">. Nevertheless, there are characteristic deviations: in the </w:t>
      </w:r>
      <w:proofErr w:type="spellStart"/>
      <w:r>
        <w:rPr>
          <w:sz w:val="21"/>
          <w:szCs w:val="21"/>
          <w:lang w:val="en-GB"/>
        </w:rPr>
        <w:t>melismas</w:t>
      </w:r>
      <w:proofErr w:type="spellEnd"/>
      <w:r>
        <w:rPr>
          <w:sz w:val="21"/>
          <w:szCs w:val="21"/>
          <w:lang w:val="en-GB"/>
        </w:rPr>
        <w:t xml:space="preserve"> over the text section ‘</w:t>
      </w:r>
      <w:proofErr w:type="spellStart"/>
      <w:r>
        <w:rPr>
          <w:sz w:val="21"/>
          <w:szCs w:val="21"/>
          <w:lang w:val="en-GB"/>
        </w:rPr>
        <w:t>intellectus</w:t>
      </w:r>
      <w:proofErr w:type="spellEnd"/>
      <w:r>
        <w:rPr>
          <w:sz w:val="21"/>
          <w:szCs w:val="21"/>
          <w:lang w:val="en-GB"/>
        </w:rPr>
        <w:t xml:space="preserve"> </w:t>
      </w:r>
      <w:proofErr w:type="spellStart"/>
      <w:r>
        <w:rPr>
          <w:sz w:val="21"/>
          <w:szCs w:val="21"/>
          <w:lang w:val="en-GB"/>
        </w:rPr>
        <w:t>stolam</w:t>
      </w:r>
      <w:proofErr w:type="spellEnd"/>
      <w:r>
        <w:rPr>
          <w:sz w:val="21"/>
          <w:szCs w:val="21"/>
          <w:lang w:val="en-GB"/>
        </w:rPr>
        <w:t xml:space="preserve">’ Senfl’s </w:t>
      </w:r>
      <w:proofErr w:type="spellStart"/>
      <w:r>
        <w:rPr>
          <w:sz w:val="21"/>
          <w:szCs w:val="21"/>
          <w:lang w:val="en-GB"/>
        </w:rPr>
        <w:t>bassus</w:t>
      </w:r>
      <w:proofErr w:type="spellEnd"/>
      <w:r>
        <w:rPr>
          <w:sz w:val="21"/>
          <w:szCs w:val="21"/>
          <w:lang w:val="en-GB"/>
        </w:rPr>
        <w:t xml:space="preserve"> part differs considerably.</w:t>
      </w:r>
    </w:p>
    <w:p w14:paraId="4EE8C42A" w14:textId="77777777" w:rsidR="001E77D4" w:rsidRDefault="00000000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In the communion, Senfl’s </w:t>
      </w:r>
      <w:proofErr w:type="spellStart"/>
      <w:r>
        <w:rPr>
          <w:sz w:val="21"/>
          <w:szCs w:val="21"/>
          <w:lang w:val="en-GB"/>
        </w:rPr>
        <w:t>bassus</w:t>
      </w:r>
      <w:proofErr w:type="spellEnd"/>
      <w:r>
        <w:rPr>
          <w:sz w:val="21"/>
          <w:szCs w:val="21"/>
          <w:lang w:val="en-GB"/>
        </w:rPr>
        <w:t xml:space="preserve"> part corresponds closer to the version found in the in the </w:t>
      </w:r>
      <w:proofErr w:type="spellStart"/>
      <w:r>
        <w:rPr>
          <w:i/>
          <w:iCs/>
          <w:sz w:val="21"/>
          <w:szCs w:val="21"/>
          <w:lang w:val="en-GB"/>
        </w:rPr>
        <w:t>Graduale</w:t>
      </w:r>
      <w:proofErr w:type="spellEnd"/>
      <w:r>
        <w:rPr>
          <w:i/>
          <w:iCs/>
          <w:sz w:val="21"/>
          <w:szCs w:val="21"/>
          <w:lang w:val="en-GB"/>
        </w:rPr>
        <w:t xml:space="preserve"> </w:t>
      </w:r>
      <w:proofErr w:type="spellStart"/>
      <w:r>
        <w:rPr>
          <w:i/>
          <w:iCs/>
          <w:sz w:val="21"/>
          <w:szCs w:val="21"/>
          <w:lang w:val="en-GB"/>
        </w:rPr>
        <w:t>Pataviense</w:t>
      </w:r>
      <w:proofErr w:type="spellEnd"/>
      <w:r>
        <w:rPr>
          <w:sz w:val="21"/>
          <w:szCs w:val="21"/>
          <w:lang w:val="en-GB"/>
        </w:rPr>
        <w:t xml:space="preserve"> (1511), fol. 15</w:t>
      </w:r>
      <w:r>
        <w:rPr>
          <w:sz w:val="21"/>
          <w:szCs w:val="21"/>
          <w:vertAlign w:val="superscript"/>
          <w:lang w:val="en-GB"/>
        </w:rPr>
        <w:t>v</w:t>
      </w:r>
      <w:r>
        <w:rPr>
          <w:sz w:val="21"/>
          <w:szCs w:val="21"/>
          <w:lang w:val="en-GB"/>
        </w:rPr>
        <w:t xml:space="preserve">, as the version in the </w:t>
      </w:r>
      <w:proofErr w:type="spellStart"/>
      <w:r>
        <w:rPr>
          <w:i/>
          <w:iCs/>
          <w:sz w:val="21"/>
          <w:szCs w:val="21"/>
          <w:lang w:val="en-GB"/>
        </w:rPr>
        <w:t>Graduale</w:t>
      </w:r>
      <w:proofErr w:type="spellEnd"/>
      <w:r>
        <w:rPr>
          <w:i/>
          <w:iCs/>
          <w:sz w:val="21"/>
          <w:szCs w:val="21"/>
          <w:lang w:val="en-GB"/>
        </w:rPr>
        <w:t xml:space="preserve"> Gregorianum</w:t>
      </w:r>
      <w:r>
        <w:rPr>
          <w:sz w:val="21"/>
          <w:szCs w:val="21"/>
          <w:lang w:val="en-GB"/>
        </w:rPr>
        <w:t xml:space="preserve"> (1510), fol. 13</w:t>
      </w:r>
      <w:r>
        <w:rPr>
          <w:sz w:val="21"/>
          <w:szCs w:val="21"/>
          <w:vertAlign w:val="superscript"/>
          <w:lang w:val="en-GB"/>
        </w:rPr>
        <w:t>r–v</w:t>
      </w:r>
      <w:r>
        <w:rPr>
          <w:sz w:val="21"/>
          <w:szCs w:val="21"/>
          <w:lang w:val="en-GB"/>
        </w:rPr>
        <w:t>, is set a fifth higher than the version found in Senfl’s polyphonic setting.</w:t>
      </w:r>
    </w:p>
    <w:p w14:paraId="52BA666F" w14:textId="77777777" w:rsidR="001E77D4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Principal Source(s)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1E77D4" w:rsidRPr="000A4D46" w14:paraId="7017452E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3F88EBC" w14:textId="77777777" w:rsidR="001E77D4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0188970B" w14:textId="33FF3C40" w:rsidR="001E77D4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38, [nos. 17, 20], </w:t>
            </w:r>
            <w:proofErr w:type="spellStart"/>
            <w:r>
              <w:rPr>
                <w:szCs w:val="22"/>
                <w:lang w:val="en-GB"/>
              </w:rPr>
              <w:t>fols</w:t>
            </w:r>
            <w:proofErr w:type="spellEnd"/>
            <w:r>
              <w:rPr>
                <w:szCs w:val="22"/>
                <w:lang w:val="en-GB"/>
              </w:rPr>
              <w:t xml:space="preserve">. </w:t>
            </w:r>
            <w:r w:rsidRPr="000A4D46">
              <w:rPr>
                <w:szCs w:val="22"/>
                <w:lang w:val="de-AT"/>
              </w:rPr>
              <w:t>80</w:t>
            </w:r>
            <w:r w:rsidRPr="000A4D46">
              <w:rPr>
                <w:szCs w:val="22"/>
                <w:vertAlign w:val="superscript"/>
                <w:lang w:val="de-AT"/>
              </w:rPr>
              <w:t>v</w:t>
            </w:r>
            <w:r w:rsidRPr="000A4D46">
              <w:rPr>
                <w:szCs w:val="22"/>
                <w:lang w:val="de-AT"/>
              </w:rPr>
              <w:t>–83</w:t>
            </w:r>
            <w:r w:rsidRPr="000A4D46">
              <w:rPr>
                <w:szCs w:val="22"/>
                <w:vertAlign w:val="superscript"/>
                <w:lang w:val="de-AT"/>
              </w:rPr>
              <w:t>r</w:t>
            </w:r>
            <w:r w:rsidRPr="000A4D46">
              <w:rPr>
                <w:szCs w:val="22"/>
                <w:lang w:val="de-AT"/>
              </w:rPr>
              <w:t xml:space="preserve"> (D, Ct, T, B), </w:t>
            </w:r>
            <w:proofErr w:type="spellStart"/>
            <w:r w:rsidRPr="000A4D46">
              <w:rPr>
                <w:szCs w:val="22"/>
                <w:lang w:val="de-AT"/>
              </w:rPr>
              <w:t>fols</w:t>
            </w:r>
            <w:proofErr w:type="spellEnd"/>
            <w:r w:rsidRPr="000A4D46">
              <w:rPr>
                <w:szCs w:val="22"/>
                <w:lang w:val="de-AT"/>
              </w:rPr>
              <w:t>. 94</w:t>
            </w:r>
            <w:r w:rsidRPr="000A4D46">
              <w:rPr>
                <w:szCs w:val="22"/>
                <w:vertAlign w:val="superscript"/>
                <w:lang w:val="de-AT"/>
              </w:rPr>
              <w:t>v</w:t>
            </w:r>
            <w:r w:rsidRPr="000A4D46">
              <w:rPr>
                <w:szCs w:val="22"/>
                <w:lang w:val="de-AT"/>
              </w:rPr>
              <w:t>–96</w:t>
            </w:r>
            <w:r w:rsidRPr="000A4D46">
              <w:rPr>
                <w:szCs w:val="22"/>
                <w:vertAlign w:val="superscript"/>
                <w:lang w:val="de-AT"/>
              </w:rPr>
              <w:t>r</w:t>
            </w:r>
            <w:r w:rsidRPr="000A4D46">
              <w:rPr>
                <w:szCs w:val="22"/>
                <w:lang w:val="de-AT"/>
              </w:rPr>
              <w:t xml:space="preserve"> ([D, Ct, T, B]), </w:t>
            </w:r>
            <w:r w:rsidR="000A4D46" w:rsidRPr="000A4D46">
              <w:rPr>
                <w:i/>
                <w:iCs/>
                <w:szCs w:val="22"/>
                <w:lang w:val="de-AT"/>
              </w:rPr>
              <w:t>L. S.</w:t>
            </w:r>
            <w:r w:rsidR="000A4D46" w:rsidRPr="000A4D46">
              <w:rPr>
                <w:szCs w:val="22"/>
                <w:lang w:val="de-AT"/>
              </w:rPr>
              <w:t xml:space="preserve">, </w:t>
            </w:r>
            <w:proofErr w:type="spellStart"/>
            <w:r w:rsidR="000A4D46" w:rsidRPr="000A4D46">
              <w:rPr>
                <w:szCs w:val="22"/>
                <w:lang w:val="de-AT"/>
              </w:rPr>
              <w:t>heading</w:t>
            </w:r>
            <w:proofErr w:type="spellEnd"/>
            <w:r w:rsidRPr="000A4D46">
              <w:rPr>
                <w:szCs w:val="22"/>
                <w:lang w:val="de-AT"/>
              </w:rPr>
              <w:t xml:space="preserve">: </w:t>
            </w:r>
            <w:r w:rsidRPr="000A4D46">
              <w:rPr>
                <w:i/>
                <w:iCs/>
                <w:szCs w:val="22"/>
                <w:lang w:val="de-AT"/>
              </w:rPr>
              <w:t>In die s</w:t>
            </w:r>
            <w:r w:rsidRPr="000A4D46">
              <w:rPr>
                <w:szCs w:val="22"/>
                <w:lang w:val="de-AT"/>
              </w:rPr>
              <w:t>[</w:t>
            </w:r>
            <w:r w:rsidRPr="000A4D46">
              <w:rPr>
                <w:i/>
                <w:iCs/>
                <w:szCs w:val="22"/>
                <w:lang w:val="de-AT"/>
              </w:rPr>
              <w:t>an</w:t>
            </w:r>
            <w:r w:rsidRPr="000A4D46">
              <w:rPr>
                <w:szCs w:val="22"/>
                <w:lang w:val="de-AT"/>
              </w:rPr>
              <w:t>]</w:t>
            </w:r>
            <w:proofErr w:type="spellStart"/>
            <w:r w:rsidRPr="000A4D46">
              <w:rPr>
                <w:i/>
                <w:iCs/>
                <w:szCs w:val="22"/>
                <w:lang w:val="de-AT"/>
              </w:rPr>
              <w:t>cti</w:t>
            </w:r>
            <w:proofErr w:type="spellEnd"/>
            <w:r w:rsidRPr="000A4D46">
              <w:rPr>
                <w:i/>
                <w:iCs/>
                <w:szCs w:val="22"/>
                <w:lang w:val="de-AT"/>
              </w:rPr>
              <w:t xml:space="preserve"> Joan</w:t>
            </w:r>
            <w:r w:rsidRPr="000A4D46">
              <w:rPr>
                <w:szCs w:val="22"/>
                <w:lang w:val="de-AT"/>
              </w:rPr>
              <w:t>[</w:t>
            </w:r>
            <w:r w:rsidRPr="000A4D46">
              <w:rPr>
                <w:i/>
                <w:iCs/>
                <w:szCs w:val="22"/>
                <w:lang w:val="de-AT"/>
              </w:rPr>
              <w:t>n</w:t>
            </w:r>
            <w:r w:rsidRPr="000A4D46">
              <w:rPr>
                <w:szCs w:val="22"/>
                <w:lang w:val="de-AT"/>
              </w:rPr>
              <w:t>]</w:t>
            </w:r>
            <w:proofErr w:type="spellStart"/>
            <w:r w:rsidRPr="000A4D46">
              <w:rPr>
                <w:i/>
                <w:iCs/>
                <w:szCs w:val="22"/>
                <w:lang w:val="de-AT"/>
              </w:rPr>
              <w:t>is</w:t>
            </w:r>
            <w:proofErr w:type="spellEnd"/>
            <w:r w:rsidRPr="000A4D46">
              <w:rPr>
                <w:i/>
                <w:iCs/>
                <w:szCs w:val="22"/>
                <w:lang w:val="de-AT"/>
              </w:rPr>
              <w:t xml:space="preserve"> </w:t>
            </w:r>
            <w:proofErr w:type="spellStart"/>
            <w:r w:rsidRPr="000A4D46">
              <w:rPr>
                <w:i/>
                <w:iCs/>
                <w:szCs w:val="22"/>
                <w:lang w:val="de-AT"/>
              </w:rPr>
              <w:t>Eua</w:t>
            </w:r>
            <w:proofErr w:type="spellEnd"/>
            <w:r w:rsidRPr="000A4D46">
              <w:rPr>
                <w:szCs w:val="22"/>
                <w:lang w:val="de-AT"/>
              </w:rPr>
              <w:t>[</w:t>
            </w:r>
            <w:r w:rsidRPr="000A4D46">
              <w:rPr>
                <w:i/>
                <w:iCs/>
                <w:szCs w:val="22"/>
                <w:lang w:val="de-AT"/>
              </w:rPr>
              <w:t>n</w:t>
            </w:r>
            <w:r w:rsidRPr="000A4D46">
              <w:rPr>
                <w:szCs w:val="22"/>
                <w:lang w:val="de-AT"/>
              </w:rPr>
              <w:t>]</w:t>
            </w:r>
            <w:proofErr w:type="spellStart"/>
            <w:r w:rsidRPr="000A4D46">
              <w:rPr>
                <w:i/>
                <w:iCs/>
                <w:szCs w:val="22"/>
                <w:lang w:val="de-AT"/>
              </w:rPr>
              <w:t>geliste</w:t>
            </w:r>
            <w:proofErr w:type="spellEnd"/>
            <w:r w:rsidRPr="000A4D46">
              <w:rPr>
                <w:i/>
                <w:iCs/>
                <w:szCs w:val="22"/>
                <w:lang w:val="de-AT"/>
              </w:rPr>
              <w:t xml:space="preserve">. </w:t>
            </w:r>
            <w:r>
              <w:rPr>
                <w:i/>
                <w:iCs/>
                <w:szCs w:val="22"/>
                <w:lang w:val="en-GB"/>
              </w:rPr>
              <w:t>Introit</w:t>
            </w:r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us</w:t>
            </w:r>
            <w:r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; text in all voices</w:t>
            </w:r>
          </w:p>
        </w:tc>
      </w:tr>
    </w:tbl>
    <w:p w14:paraId="47C5DACA" w14:textId="77777777" w:rsidR="001E77D4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0C675E1D" w14:textId="77777777" w:rsidR="001E77D4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</w:p>
    <w:p w14:paraId="74923322" w14:textId="77777777" w:rsidR="001E77D4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1E77D4" w14:paraId="27C2B195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C08CD3" w14:textId="77777777" w:rsidR="001E77D4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5–9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E73CAB" w14:textId="77777777" w:rsidR="001E77D4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20F2092" w14:textId="77777777" w:rsidR="001E77D4" w:rsidRDefault="001E77D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9616092" w14:textId="77777777" w:rsidR="001E77D4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Additional high b{flat}</w:t>
            </w:r>
          </w:p>
        </w:tc>
      </w:tr>
    </w:tbl>
    <w:p w14:paraId="7323745F" w14:textId="77777777" w:rsidR="001E77D4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Communion</w:t>
      </w:r>
    </w:p>
    <w:p w14:paraId="32345926" w14:textId="77777777" w:rsidR="001E77D4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1E77D4" w14:paraId="7F2B2B9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D4CCB5E" w14:textId="77777777" w:rsidR="001E77D4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6229058" w14:textId="77777777" w:rsidR="001E77D4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08467B" w14:textId="77777777" w:rsidR="001E77D4" w:rsidRDefault="001E77D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3848D3D" w14:textId="77777777" w:rsidR="001E77D4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C2 clef</w:t>
            </w:r>
          </w:p>
        </w:tc>
      </w:tr>
    </w:tbl>
    <w:p w14:paraId="3634E055" w14:textId="77777777" w:rsidR="001E77D4" w:rsidRDefault="00000000">
      <w:pPr>
        <w:pStyle w:val="berschrift3"/>
        <w:numPr>
          <w:ilvl w:val="2"/>
          <w:numId w:val="1"/>
        </w:numPr>
        <w:rPr>
          <w:lang w:val="en-GB"/>
        </w:rPr>
      </w:pPr>
      <w:proofErr w:type="spellStart"/>
      <w:r>
        <w:rPr>
          <w:lang w:val="en-GB"/>
        </w:rPr>
        <w:t>Canonic</w:t>
      </w:r>
      <w:proofErr w:type="spellEnd"/>
      <w:r>
        <w:rPr>
          <w:lang w:val="en-GB"/>
        </w:rPr>
        <w:t xml:space="preserve"> devices, 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1E77D4" w:rsidRPr="000A4D46" w14:paraId="3FADDE61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8EDCA5" w14:textId="77777777" w:rsidR="001E77D4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B36F85" w14:textId="77777777" w:rsidR="001E77D4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2CA2965" w14:textId="77777777" w:rsidR="001E77D4" w:rsidRDefault="001E77D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0A2C6B5" w14:textId="77777777" w:rsidR="001E77D4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note head or Mi-rest erased?</w:t>
            </w:r>
          </w:p>
        </w:tc>
      </w:tr>
    </w:tbl>
    <w:p w14:paraId="0C38F3CD" w14:textId="77777777" w:rsidR="001E77D4" w:rsidRDefault="00000000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lastRenderedPageBreak/>
        <w:t>Remarks</w:t>
      </w:r>
    </w:p>
    <w:p w14:paraId="7FEDBAAA" w14:textId="77777777" w:rsidR="001E77D4" w:rsidRDefault="00000000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In </w:t>
      </w:r>
      <w:r>
        <w:rPr>
          <w:b/>
          <w:bCs/>
          <w:lang w:val="en-GB"/>
        </w:rPr>
        <w:t>Mun</w:t>
      </w:r>
      <w:r>
        <w:rPr>
          <w:b/>
          <w:bCs/>
          <w:vertAlign w:val="superscript"/>
          <w:lang w:val="en-GB"/>
        </w:rPr>
        <w:t>4</w:t>
      </w:r>
      <w:r>
        <w:rPr>
          <w:b/>
          <w:bCs/>
          <w:lang w:val="en-GB"/>
        </w:rPr>
        <w:t xml:space="preserve"> </w:t>
      </w:r>
      <w:r>
        <w:rPr>
          <w:lang w:val="en-GB"/>
        </w:rPr>
        <w:t>Senfl’s introit and communion complete Heinrich Isaac’s settings for the feast of St. John (</w:t>
      </w:r>
      <w:r>
        <w:rPr>
          <w:i/>
          <w:iCs/>
          <w:lang w:val="en-GB"/>
        </w:rPr>
        <w:t xml:space="preserve">Alleluia. Hic </w:t>
      </w:r>
      <w:proofErr w:type="spellStart"/>
      <w:r>
        <w:rPr>
          <w:i/>
          <w:iCs/>
          <w:lang w:val="en-GB"/>
        </w:rPr>
        <w:t>est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discipulus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Sequenz</w:t>
      </w:r>
      <w:proofErr w:type="spellEnd"/>
      <w:r>
        <w:rPr>
          <w:lang w:val="en-GB"/>
        </w:rPr>
        <w:t xml:space="preserve"> </w:t>
      </w:r>
      <w:r>
        <w:rPr>
          <w:i/>
          <w:iCs/>
          <w:lang w:val="en-GB"/>
        </w:rPr>
        <w:t>Johannes Jesu</w:t>
      </w:r>
      <w:r>
        <w:rPr>
          <w:lang w:val="en-GB"/>
        </w:rPr>
        <w:t xml:space="preserve">). The alleluia and the sequence are the only settings by Isaac in the </w:t>
      </w:r>
      <w:r>
        <w:rPr>
          <w:i/>
          <w:iCs/>
          <w:lang w:val="en-GB"/>
        </w:rPr>
        <w:t>Opus Musicum</w:t>
      </w:r>
      <w:r>
        <w:rPr>
          <w:lang w:val="en-GB"/>
        </w:rPr>
        <w:t xml:space="preserve">, that are not included in the </w:t>
      </w:r>
      <w:r>
        <w:rPr>
          <w:i/>
          <w:iCs/>
          <w:lang w:val="en-GB"/>
        </w:rPr>
        <w:t xml:space="preserve">Choralis </w:t>
      </w:r>
      <w:proofErr w:type="spellStart"/>
      <w:r>
        <w:rPr>
          <w:i/>
          <w:iCs/>
          <w:lang w:val="en-GB"/>
        </w:rPr>
        <w:t>Constantinus</w:t>
      </w:r>
      <w:proofErr w:type="spellEnd"/>
      <w:r>
        <w:rPr>
          <w:lang w:val="en-GB"/>
        </w:rPr>
        <w:t xml:space="preserve">. </w:t>
      </w:r>
    </w:p>
    <w:sectPr w:rsidR="001E77D4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A698E"/>
    <w:multiLevelType w:val="multilevel"/>
    <w:tmpl w:val="51D242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982399"/>
    <w:multiLevelType w:val="multilevel"/>
    <w:tmpl w:val="A0FC6BB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A37376F"/>
    <w:multiLevelType w:val="multilevel"/>
    <w:tmpl w:val="B54A7B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33805818">
    <w:abstractNumId w:val="2"/>
  </w:num>
  <w:num w:numId="2" w16cid:durableId="1543325479">
    <w:abstractNumId w:val="1"/>
  </w:num>
  <w:num w:numId="3" w16cid:durableId="1907757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7D4"/>
    <w:rsid w:val="000A4D46"/>
    <w:rsid w:val="001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9FB71A"/>
  <w15:docId w15:val="{E13B9F6B-AF9D-C747-9424-421F8103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19</cp:revision>
  <cp:lastPrinted>2019-11-13T09:44:00Z</cp:lastPrinted>
  <dcterms:created xsi:type="dcterms:W3CDTF">2023-03-10T17:55:00Z</dcterms:created>
  <dcterms:modified xsi:type="dcterms:W3CDTF">2023-12-04T14:31:00Z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