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81077" w14:textId="77777777" w:rsidR="0080100B" w:rsidRDefault="000000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>14. Feria Secunda post Pascha (SC P 14)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0100B" w14:paraId="4BEC2A07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38C6D3C" w14:textId="77777777" w:rsidR="0080100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D4785FD" w14:textId="77777777" w:rsidR="0080100B" w:rsidRDefault="0080100B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80100B" w14:paraId="6AD96C3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E1536B2" w14:textId="77777777" w:rsidR="0080100B" w:rsidRPr="006E1C76" w:rsidRDefault="00000000">
            <w:pPr>
              <w:pStyle w:val="Textkrper"/>
              <w:widowControl w:val="0"/>
              <w:rPr>
                <w:szCs w:val="22"/>
              </w:rPr>
            </w:pPr>
            <w:r w:rsidRPr="006E1C76">
              <w:rPr>
                <w:szCs w:val="22"/>
              </w:rPr>
              <w:t>Introduxit vos Dominus in terram fluentem lac et mel, alleluia: et ut lex Domini semper sit in ore vestro, alleluia, alleluia.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EE01092" w14:textId="77777777" w:rsidR="0080100B" w:rsidRDefault="00000000">
            <w:pPr>
              <w:pStyle w:val="Textkrper"/>
              <w:rPr>
                <w:rFonts w:asciiTheme="minorHAnsi" w:hAnsiTheme="minorHAnsi"/>
                <w:szCs w:val="22"/>
                <w:shd w:val="clear" w:color="auto" w:fill="FFFF00"/>
                <w:lang w:val="en-GB"/>
              </w:rPr>
            </w:pPr>
            <w:r w:rsidRPr="006E1C76">
              <w:rPr>
                <w:lang w:val="en-US"/>
              </w:rPr>
              <w:t>The Lord has brought thee into a land that floweth with milk and honey, alleluia: and that the law of the Lord be always in thy mouth, alleluia, alleluia.</w:t>
            </w:r>
          </w:p>
          <w:p w14:paraId="04E89CF1" w14:textId="77777777" w:rsidR="0080100B" w:rsidRDefault="00000000">
            <w:pPr>
              <w:pStyle w:val="Textkrper"/>
              <w:rPr>
                <w:rFonts w:asciiTheme="minorHAnsi" w:hAnsiTheme="minorHAnsi"/>
                <w:szCs w:val="22"/>
                <w:shd w:val="clear" w:color="auto" w:fill="FFFF00"/>
                <w:lang w:val="en-GB"/>
              </w:rPr>
            </w:pPr>
            <w:r>
              <w:t xml:space="preserve">(adapted from </w:t>
            </w:r>
            <w:r>
              <w:rPr>
                <w:i/>
                <w:iCs/>
              </w:rPr>
              <w:t>RDC</w:t>
            </w:r>
            <w:r>
              <w:t>)</w:t>
            </w:r>
          </w:p>
        </w:tc>
      </w:tr>
      <w:tr w:rsidR="0080100B" w14:paraId="3961938A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21A642F" w14:textId="287E77C0" w:rsidR="0080100B" w:rsidRDefault="006E1C76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E1C76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 xml:space="preserve">} </w:t>
            </w:r>
            <w:r>
              <w:rPr>
                <w:rFonts w:eastAsia="MS Mincho"/>
                <w:szCs w:val="22"/>
                <w:lang w:val="en-GB"/>
              </w:rPr>
              <w:t>Confitemini Domino, quoniam bonus quoniam in saeculum misericordia eius.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9823B03" w14:textId="3A34E50A" w:rsidR="0080100B" w:rsidRDefault="006E1C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E1C76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 xml:space="preserve">} Give glory to the Lord, for he is good, for his mercy endureth for ever. </w:t>
            </w:r>
          </w:p>
          <w:p w14:paraId="541EB70F" w14:textId="77777777" w:rsidR="0080100B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80100B" w14:paraId="40F1CF1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F65EDD8" w14:textId="77777777" w:rsidR="0080100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Gloria Patri, et Filio, et Spiritui Sancto. Sicut erat in principio, et nunc, et semper, et in saecula saeculorum. 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4627A12" w14:textId="77777777" w:rsidR="0080100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17A29B4C" w14:textId="77777777" w:rsidR="0080100B" w:rsidRDefault="0080100B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0100B" w14:paraId="42B8439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42C6256" w14:textId="77777777" w:rsidR="0080100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5C57221" w14:textId="77777777" w:rsidR="0080100B" w:rsidRDefault="0080100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0100B" w:rsidRPr="006E1C76" w14:paraId="3A698E0D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206BFE5" w14:textId="4D7F291A" w:rsidR="0080100B" w:rsidRDefault="006E1C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E1C76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>} Angelus Domini descendit de caelo: et accedens revolvit lapidem, et sedebat super eum.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7FC7035" w14:textId="55B6A4C9" w:rsidR="0080100B" w:rsidRDefault="006E1C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E1C76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 xml:space="preserve">} An angel of the Lord descended from heaven and coming rolled back the stone and sat upon it. 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80100B" w:rsidRPr="00095B8C" w14:paraId="7CF30D63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7E7B58AB" w14:textId="738457EA" w:rsidR="0080100B" w:rsidRDefault="006E1C76">
            <w:pPr>
              <w:widowControl w:val="0"/>
              <w:rPr>
                <w:rFonts w:ascii="Adobe Garamond Pro" w:hAnsi="Adobe Garamond Pro"/>
                <w:sz w:val="22"/>
                <w:szCs w:val="22"/>
                <w:lang w:val="fr-FR"/>
              </w:rPr>
            </w:pPr>
            <w:r w:rsidRPr="006E1C76">
              <w:rPr>
                <w:rFonts w:ascii="Adobe Garamond Pro" w:eastAsia="MS Mincho" w:hAnsi="Adobe Garamond Pro"/>
                <w:sz w:val="22"/>
                <w:lang w:val="de-AT"/>
              </w:rPr>
              <w:t>{</w:t>
            </w:r>
            <w:r w:rsidRPr="006E1C76">
              <w:rPr>
                <w:rFonts w:ascii="Adobe Garamond Pro" w:eastAsia="MS Mincho" w:hAnsi="Adobe Garamond Pro"/>
                <w:sz w:val="22"/>
                <w:highlight w:val="cyan"/>
                <w:lang w:val="de-AT"/>
              </w:rPr>
              <w:t>V.</w:t>
            </w:r>
            <w:r w:rsidRPr="006E1C76">
              <w:rPr>
                <w:rFonts w:ascii="Adobe Garamond Pro" w:eastAsia="MS Mincho" w:hAnsi="Adobe Garamond Pro"/>
                <w:sz w:val="22"/>
                <w:lang w:val="de-AT"/>
              </w:rPr>
              <w:t xml:space="preserve">} </w:t>
            </w:r>
            <w:r>
              <w:rPr>
                <w:rFonts w:ascii="Adobe Garamond Pro" w:eastAsia="MS Mincho" w:hAnsi="Adobe Garamond Pro"/>
                <w:sz w:val="22"/>
                <w:lang w:val="fr-FR"/>
              </w:rPr>
              <w:t xml:space="preserve">Respondens autem angelus dixit mulieribus: ‘quem </w:t>
            </w:r>
            <w:proofErr w:type="gramStart"/>
            <w:r>
              <w:rPr>
                <w:rFonts w:ascii="Adobe Garamond Pro" w:eastAsia="MS Mincho" w:hAnsi="Adobe Garamond Pro"/>
                <w:sz w:val="22"/>
                <w:lang w:val="fr-FR"/>
              </w:rPr>
              <w:t>quaeritis?’</w:t>
            </w:r>
            <w:proofErr w:type="gramEnd"/>
            <w:r>
              <w:rPr>
                <w:rFonts w:ascii="Adobe Garamond Pro" w:eastAsia="MS Mincho" w:hAnsi="Adobe Garamond Pro"/>
                <w:sz w:val="22"/>
                <w:lang w:val="fr-FR"/>
              </w:rPr>
              <w:t xml:space="preserve"> Ille autem </w:t>
            </w:r>
            <w:proofErr w:type="gramStart"/>
            <w:r>
              <w:rPr>
                <w:rFonts w:ascii="Adobe Garamond Pro" w:eastAsia="MS Mincho" w:hAnsi="Adobe Garamond Pro"/>
                <w:sz w:val="22"/>
                <w:lang w:val="fr-FR"/>
              </w:rPr>
              <w:t>dixerunt:</w:t>
            </w:r>
            <w:proofErr w:type="gramEnd"/>
            <w:r>
              <w:rPr>
                <w:rFonts w:ascii="Adobe Garamond Pro" w:eastAsia="MS Mincho" w:hAnsi="Adobe Garamond Pro"/>
                <w:sz w:val="22"/>
                <w:lang w:val="fr-FR"/>
              </w:rPr>
              <w:t xml:space="preserve"> Jesum Nazarenum.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D05910E" w14:textId="5CF55BEF" w:rsidR="0080100B" w:rsidRDefault="006E1C7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6E1C76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>} And the angel answering said to the women: ‘whom do you seek</w:t>
            </w:r>
            <w:proofErr w:type="gramStart"/>
            <w:r>
              <w:rPr>
                <w:szCs w:val="22"/>
                <w:lang w:val="en-GB"/>
              </w:rPr>
              <w:t>? ’</w:t>
            </w:r>
            <w:proofErr w:type="gramEnd"/>
            <w:r>
              <w:rPr>
                <w:szCs w:val="22"/>
                <w:lang w:val="en-GB"/>
              </w:rPr>
              <w:t xml:space="preserve"> But they said to him: ‘Jesus of </w:t>
            </w:r>
            <w:proofErr w:type="gramStart"/>
            <w:r>
              <w:rPr>
                <w:szCs w:val="22"/>
                <w:lang w:val="en-GB"/>
              </w:rPr>
              <w:t>Nazareth’</w:t>
            </w:r>
            <w:proofErr w:type="gramEnd"/>
            <w:r>
              <w:rPr>
                <w:szCs w:val="22"/>
                <w:lang w:val="en-GB"/>
              </w:rPr>
              <w:t xml:space="preserve"> </w:t>
            </w:r>
          </w:p>
          <w:p w14:paraId="399AA685" w14:textId="77777777" w:rsidR="0080100B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13557D56" w14:textId="77777777" w:rsidR="0080100B" w:rsidRDefault="0080100B">
      <w:pPr>
        <w:pStyle w:val="Textkrper"/>
        <w:rPr>
          <w:szCs w:val="22"/>
          <w:lang w:val="en-GB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80100B" w14:paraId="7077791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1B61526" w14:textId="77777777" w:rsidR="0080100B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1562287" w14:textId="77777777" w:rsidR="0080100B" w:rsidRDefault="0080100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0100B" w14:paraId="13F9515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26C9430" w14:textId="77777777" w:rsidR="0080100B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Surrexit Dominus, et apparuit Petro, alleluia.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A7DB79A" w14:textId="77777777" w:rsidR="0080100B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The Lord is risen and hath appeared to Peter. 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5EB2012B" w14:textId="77777777" w:rsidR="0080100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6DE3BFE9" w14:textId="77777777" w:rsidR="0080100B" w:rsidRDefault="00000000">
      <w:pPr>
        <w:pStyle w:val="Textkrper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The Psalm verse used by Senfl as well as the monophonic version in the </w:t>
      </w:r>
      <w:r>
        <w:rPr>
          <w:i/>
          <w:iCs/>
          <w:lang w:val="en-GB"/>
        </w:rPr>
        <w:t>Graduale Pataviense</w:t>
      </w:r>
      <w:r>
        <w:rPr>
          <w:lang w:val="en-GB"/>
        </w:rPr>
        <w:t xml:space="preserve"> (1511), fol. 84</w:t>
      </w:r>
      <w:r>
        <w:rPr>
          <w:vertAlign w:val="superscript"/>
          <w:lang w:val="en-GB"/>
        </w:rPr>
        <w:t>r</w:t>
      </w:r>
      <w:r>
        <w:rPr>
          <w:lang w:val="en-GB"/>
        </w:rPr>
        <w:t xml:space="preserve"> stay with the textversion given in the Vulgata, Psalm 106, 1. The text given in the </w:t>
      </w:r>
      <w:r>
        <w:rPr>
          <w:i/>
          <w:iCs/>
          <w:lang w:val="en-GB"/>
        </w:rPr>
        <w:t>Missale Frisingense</w:t>
      </w:r>
      <w:r>
        <w:rPr>
          <w:lang w:val="en-GB"/>
        </w:rPr>
        <w:t xml:space="preserve"> (1520), fol. 87</w:t>
      </w:r>
      <w:r>
        <w:rPr>
          <w:vertAlign w:val="superscript"/>
          <w:lang w:val="en-GB"/>
        </w:rPr>
        <w:t>v</w:t>
      </w:r>
      <w:r>
        <w:rPr>
          <w:lang w:val="en-GB"/>
        </w:rPr>
        <w:t>, differs from the Vulgata version and reads ‘Confitemini Domino et invocate nomen eius: annunciate inter gentes opera eius.’</w:t>
      </w:r>
    </w:p>
    <w:p w14:paraId="5546400F" w14:textId="77777777" w:rsidR="0080100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03146761" w14:textId="1834F7C2" w:rsidR="0080100B" w:rsidRDefault="00000000">
      <w:pPr>
        <w:pStyle w:val="Textkrper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 xml:space="preserve">The bassus in Senfl’s polyphonic setting </w:t>
      </w:r>
      <w:r w:rsidR="006E1C76">
        <w:rPr>
          <w:sz w:val="21"/>
          <w:szCs w:val="21"/>
          <w:lang w:val="en-GB"/>
        </w:rPr>
        <w:t>follows</w:t>
      </w:r>
      <w:r>
        <w:rPr>
          <w:sz w:val="21"/>
          <w:szCs w:val="21"/>
          <w:lang w:val="en-GB"/>
        </w:rPr>
        <w:t xml:space="preserve"> </w:t>
      </w:r>
      <w:r w:rsidR="006E1C76">
        <w:rPr>
          <w:sz w:val="21"/>
          <w:szCs w:val="21"/>
          <w:lang w:val="en-GB"/>
        </w:rPr>
        <w:t xml:space="preserve">quite closely </w:t>
      </w:r>
      <w:r>
        <w:rPr>
          <w:sz w:val="21"/>
          <w:szCs w:val="21"/>
          <w:lang w:val="en-GB"/>
        </w:rPr>
        <w:t xml:space="preserve">the monophonic version in the </w:t>
      </w:r>
      <w:r>
        <w:rPr>
          <w:i/>
          <w:iCs/>
          <w:sz w:val="21"/>
          <w:szCs w:val="21"/>
          <w:lang w:val="en-GB"/>
        </w:rPr>
        <w:t>Graduale Pataviense</w:t>
      </w:r>
      <w:r>
        <w:rPr>
          <w:sz w:val="21"/>
          <w:szCs w:val="21"/>
          <w:lang w:val="en-GB"/>
        </w:rPr>
        <w:t xml:space="preserve"> (1511), fol. 84</w:t>
      </w:r>
      <w:r>
        <w:rPr>
          <w:sz w:val="21"/>
          <w:szCs w:val="21"/>
          <w:vertAlign w:val="superscript"/>
          <w:lang w:val="en-GB"/>
        </w:rPr>
        <w:t>r–v</w:t>
      </w:r>
      <w:r>
        <w:rPr>
          <w:sz w:val="21"/>
          <w:szCs w:val="21"/>
          <w:lang w:val="en-GB"/>
        </w:rPr>
        <w:t xml:space="preserve">. </w:t>
      </w:r>
      <w:r w:rsidR="006E1C76">
        <w:rPr>
          <w:sz w:val="21"/>
          <w:szCs w:val="21"/>
          <w:lang w:val="en-GB"/>
        </w:rPr>
        <w:t>However, i</w:t>
      </w:r>
      <w:r>
        <w:rPr>
          <w:sz w:val="21"/>
          <w:szCs w:val="21"/>
          <w:lang w:val="en-GB"/>
        </w:rPr>
        <w:t xml:space="preserve">n the introit and the </w:t>
      </w:r>
      <w:r w:rsidR="006E1C76">
        <w:rPr>
          <w:sz w:val="21"/>
          <w:szCs w:val="21"/>
          <w:lang w:val="en-GB"/>
        </w:rPr>
        <w:t>communion,</w:t>
      </w:r>
      <w:r>
        <w:rPr>
          <w:sz w:val="21"/>
          <w:szCs w:val="21"/>
          <w:lang w:val="en-GB"/>
        </w:rPr>
        <w:t xml:space="preserve"> </w:t>
      </w:r>
      <w:r w:rsidR="006E1C76">
        <w:rPr>
          <w:sz w:val="21"/>
          <w:szCs w:val="21"/>
          <w:lang w:val="en-GB"/>
        </w:rPr>
        <w:t xml:space="preserve">in Senfl’s setting </w:t>
      </w:r>
      <w:r>
        <w:rPr>
          <w:sz w:val="21"/>
          <w:szCs w:val="21"/>
          <w:lang w:val="en-GB"/>
        </w:rPr>
        <w:t xml:space="preserve">the </w:t>
      </w:r>
      <w:r w:rsidR="006E1C76">
        <w:rPr>
          <w:sz w:val="21"/>
          <w:szCs w:val="21"/>
          <w:lang w:val="en-GB"/>
        </w:rPr>
        <w:t xml:space="preserve">plainchant </w:t>
      </w:r>
      <w:r>
        <w:rPr>
          <w:sz w:val="21"/>
          <w:szCs w:val="21"/>
          <w:lang w:val="en-GB"/>
        </w:rPr>
        <w:t>melody is set a fifth lower, while the alleluia is set on the same pitch as the monophonic version.</w:t>
      </w:r>
    </w:p>
    <w:p w14:paraId="40CEA53E" w14:textId="77777777" w:rsidR="0080100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80100B" w:rsidRPr="00095B8C" w14:paraId="73AE9BC7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2A60D6C" w14:textId="77777777" w:rsidR="0080100B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475DC72B" w14:textId="526A966A" w:rsidR="0080100B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D-Mbs Mus.ms. 38, [nos. 40–2], fols. </w:t>
            </w:r>
            <w:r w:rsidRPr="00095B8C">
              <w:rPr>
                <w:szCs w:val="22"/>
                <w:lang w:val="en-US"/>
              </w:rPr>
              <w:t>207</w:t>
            </w:r>
            <w:r w:rsidRPr="00095B8C">
              <w:rPr>
                <w:szCs w:val="22"/>
                <w:vertAlign w:val="superscript"/>
                <w:lang w:val="en-US"/>
              </w:rPr>
              <w:t>v</w:t>
            </w:r>
            <w:r w:rsidRPr="00095B8C">
              <w:rPr>
                <w:szCs w:val="22"/>
                <w:lang w:val="en-US"/>
              </w:rPr>
              <w:t>–219</w:t>
            </w:r>
            <w:r w:rsidRPr="00095B8C">
              <w:rPr>
                <w:szCs w:val="22"/>
                <w:vertAlign w:val="superscript"/>
                <w:lang w:val="en-US"/>
              </w:rPr>
              <w:t>r</w:t>
            </w:r>
            <w:r w:rsidRPr="00095B8C">
              <w:rPr>
                <w:szCs w:val="22"/>
                <w:lang w:val="en-US"/>
              </w:rPr>
              <w:t xml:space="preserve"> (D, Ct, T, B), </w:t>
            </w:r>
            <w:r w:rsidR="00095B8C" w:rsidRPr="00095B8C">
              <w:rPr>
                <w:i/>
                <w:iCs/>
                <w:szCs w:val="22"/>
                <w:lang w:val="en-US"/>
              </w:rPr>
              <w:t>L. S.</w:t>
            </w:r>
            <w:r w:rsidR="00095B8C" w:rsidRPr="00095B8C">
              <w:rPr>
                <w:szCs w:val="22"/>
                <w:lang w:val="en-US"/>
              </w:rPr>
              <w:t>,</w:t>
            </w:r>
            <w:r w:rsidR="00095B8C" w:rsidRPr="00095B8C">
              <w:rPr>
                <w:szCs w:val="22"/>
                <w:lang w:val="en-US"/>
              </w:rPr>
              <w:t xml:space="preserve"> heading</w:t>
            </w:r>
            <w:r w:rsidRPr="00095B8C">
              <w:rPr>
                <w:szCs w:val="22"/>
                <w:lang w:val="en-US"/>
              </w:rPr>
              <w:t xml:space="preserve">: </w:t>
            </w:r>
            <w:r w:rsidRPr="00095B8C">
              <w:rPr>
                <w:i/>
                <w:iCs/>
                <w:szCs w:val="22"/>
                <w:lang w:val="en-US"/>
              </w:rPr>
              <w:t>Feria s</w:t>
            </w:r>
            <w:r w:rsidRPr="00095B8C">
              <w:rPr>
                <w:szCs w:val="22"/>
                <w:lang w:val="en-US"/>
              </w:rPr>
              <w:t>[</w:t>
            </w:r>
            <w:r w:rsidRPr="00095B8C">
              <w:rPr>
                <w:i/>
                <w:iCs/>
                <w:szCs w:val="22"/>
                <w:lang w:val="en-US"/>
              </w:rPr>
              <w:t>e</w:t>
            </w:r>
            <w:r w:rsidRPr="00095B8C">
              <w:rPr>
                <w:szCs w:val="22"/>
                <w:lang w:val="en-US"/>
              </w:rPr>
              <w:t>]</w:t>
            </w:r>
            <w:r w:rsidRPr="00095B8C">
              <w:rPr>
                <w:i/>
                <w:iCs/>
                <w:szCs w:val="22"/>
                <w:lang w:val="en-US"/>
              </w:rPr>
              <w:t>c</w:t>
            </w:r>
            <w:r w:rsidRPr="00095B8C">
              <w:rPr>
                <w:szCs w:val="22"/>
                <w:lang w:val="en-US"/>
              </w:rPr>
              <w:t>[</w:t>
            </w:r>
            <w:r w:rsidRPr="00095B8C">
              <w:rPr>
                <w:i/>
                <w:iCs/>
                <w:szCs w:val="22"/>
                <w:lang w:val="en-US"/>
              </w:rPr>
              <w:t>un</w:t>
            </w:r>
            <w:r w:rsidRPr="00095B8C">
              <w:rPr>
                <w:szCs w:val="22"/>
                <w:lang w:val="en-US"/>
              </w:rPr>
              <w:t>]</w:t>
            </w:r>
            <w:r w:rsidRPr="00095B8C">
              <w:rPr>
                <w:i/>
                <w:iCs/>
                <w:szCs w:val="22"/>
                <w:lang w:val="en-US"/>
              </w:rPr>
              <w:t xml:space="preserve">da pasce. </w:t>
            </w:r>
            <w:r>
              <w:rPr>
                <w:i/>
                <w:iCs/>
                <w:szCs w:val="22"/>
                <w:lang w:val="en-GB"/>
              </w:rPr>
              <w:t>Introit</w:t>
            </w:r>
            <w:r>
              <w:rPr>
                <w:szCs w:val="22"/>
                <w:lang w:val="en-GB"/>
              </w:rPr>
              <w:t>[</w:t>
            </w:r>
            <w:r>
              <w:rPr>
                <w:i/>
                <w:iCs/>
                <w:szCs w:val="22"/>
                <w:lang w:val="en-GB"/>
              </w:rPr>
              <w:t>us</w:t>
            </w:r>
            <w:r>
              <w:rPr>
                <w:szCs w:val="22"/>
                <w:lang w:val="en-GB"/>
              </w:rPr>
              <w:t>]</w:t>
            </w:r>
            <w:r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 xml:space="preserve">, </w:t>
            </w:r>
            <w:r w:rsidR="00095B8C">
              <w:rPr>
                <w:szCs w:val="22"/>
                <w:lang w:val="en-GB"/>
              </w:rPr>
              <w:t>text in all voices</w:t>
            </w:r>
          </w:p>
        </w:tc>
      </w:tr>
    </w:tbl>
    <w:p w14:paraId="0C9B155C" w14:textId="77777777" w:rsidR="0080100B" w:rsidRDefault="00000000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348F2BD6" w14:textId="77777777" w:rsidR="0080100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t>Introit</w:t>
      </w:r>
    </w:p>
    <w:p w14:paraId="73917A2B" w14:textId="77777777" w:rsidR="0080100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80100B" w14:paraId="60B6919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F08C420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7E58C6E1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2ED29BFA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</w:tbl>
    <w:p w14:paraId="56FB8061" w14:textId="77777777" w:rsidR="0080100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i/>
          <w:iCs/>
          <w:lang w:val="en-GB"/>
        </w:rPr>
        <w:lastRenderedPageBreak/>
        <w:t>Alleluia</w:t>
      </w:r>
    </w:p>
    <w:p w14:paraId="0978EA20" w14:textId="77777777" w:rsidR="0080100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80100B" w14:paraId="3AF4B29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EBA7BC7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32B7D4C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4672BE20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</w:tbl>
    <w:p w14:paraId="5873D99D" w14:textId="77777777" w:rsidR="0080100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Directions, and/or non-verbal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80100B" w:rsidRPr="00095B8C" w14:paraId="3FA1CA28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7053EB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3505030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7B2117FA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end of B</w:t>
            </w:r>
          </w:p>
        </w:tc>
      </w:tr>
      <w:tr w:rsidR="0080100B" w:rsidRPr="00095B8C" w14:paraId="51517A42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D52F95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98F32CE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659CF435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Ct</w:t>
            </w:r>
          </w:p>
        </w:tc>
      </w:tr>
      <w:tr w:rsidR="0080100B" w14:paraId="52200345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DCC0A1F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6–12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7AD206D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27C1D548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Alleluia: In Discanto</w:t>
            </w:r>
          </w:p>
        </w:tc>
      </w:tr>
      <w:tr w:rsidR="0080100B" w:rsidRPr="006E1C76" w14:paraId="7D67A264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12A5F49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196389B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3B0657EB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sig. cong.</w:t>
            </w:r>
            <w:r>
              <w:rPr>
                <w:szCs w:val="22"/>
                <w:lang w:val="en-GB"/>
              </w:rPr>
              <w:t xml:space="preserve"> indicating entry of B</w:t>
            </w:r>
          </w:p>
        </w:tc>
      </w:tr>
      <w:tr w:rsidR="0080100B" w14:paraId="73F9D57C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BCDD63C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–12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72A071AB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10359DF7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Alleluia: In Tenore</w:t>
            </w:r>
          </w:p>
        </w:tc>
      </w:tr>
    </w:tbl>
    <w:p w14:paraId="527FDE32" w14:textId="77777777" w:rsidR="0080100B" w:rsidRDefault="00000000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5"/>
        <w:gridCol w:w="3442"/>
        <w:gridCol w:w="3443"/>
      </w:tblGrid>
      <w:tr w:rsidR="0080100B" w14:paraId="15CAABE9" w14:textId="77777777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E7C1097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48951DF6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nil"/>
              <w:right w:val="nil"/>
            </w:tcBorders>
          </w:tcPr>
          <w:p w14:paraId="1BAB4D8C" w14:textId="77777777" w:rsidR="0080100B" w:rsidRDefault="0000000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>
              <w:rPr>
                <w:i/>
                <w:iCs/>
                <w:szCs w:val="22"/>
                <w:lang w:val="en-GB"/>
              </w:rPr>
              <w:t>accedes</w:t>
            </w:r>
          </w:p>
        </w:tc>
      </w:tr>
    </w:tbl>
    <w:p w14:paraId="1B31B807" w14:textId="77777777" w:rsidR="0080100B" w:rsidRDefault="0080100B">
      <w:pPr>
        <w:pStyle w:val="berschrift3"/>
        <w:numPr>
          <w:ilvl w:val="2"/>
          <w:numId w:val="1"/>
        </w:numPr>
        <w:rPr>
          <w:lang w:val="en-GB"/>
        </w:rPr>
      </w:pPr>
    </w:p>
    <w:sectPr w:rsidR="0080100B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F5A82"/>
    <w:multiLevelType w:val="multilevel"/>
    <w:tmpl w:val="C82487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4503A30"/>
    <w:multiLevelType w:val="multilevel"/>
    <w:tmpl w:val="290C20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9352481">
    <w:abstractNumId w:val="0"/>
  </w:num>
  <w:num w:numId="2" w16cid:durableId="39943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00B"/>
    <w:rsid w:val="00095B8C"/>
    <w:rsid w:val="006E1C76"/>
    <w:rsid w:val="0080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EECCA6"/>
  <w15:docId w15:val="{DFEC2448-118E-8041-9ADC-4639299C0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25</cp:revision>
  <cp:lastPrinted>2019-11-13T09:44:00Z</cp:lastPrinted>
  <dcterms:created xsi:type="dcterms:W3CDTF">2023-03-15T15:28:00Z</dcterms:created>
  <dcterms:modified xsi:type="dcterms:W3CDTF">2023-12-04T14:39:00Z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