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2C5F" w14:textId="77777777" w:rsidR="003268C7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38. In Festo </w:t>
      </w:r>
      <w:proofErr w:type="spellStart"/>
      <w:r>
        <w:rPr>
          <w:lang w:val="en-GB"/>
        </w:rPr>
        <w:t>Assumptionis</w:t>
      </w:r>
      <w:proofErr w:type="spellEnd"/>
      <w:r>
        <w:rPr>
          <w:lang w:val="en-GB"/>
        </w:rPr>
        <w:t xml:space="preserve"> Beatae </w:t>
      </w:r>
      <w:proofErr w:type="spellStart"/>
      <w:r>
        <w:rPr>
          <w:lang w:val="en-GB"/>
        </w:rPr>
        <w:t>Mariae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Virginis</w:t>
      </w:r>
      <w:proofErr w:type="spellEnd"/>
      <w:r>
        <w:rPr>
          <w:lang w:val="en-GB"/>
        </w:rPr>
        <w:t xml:space="preserve"> (SC P 38 </w:t>
      </w:r>
      <w:proofErr w:type="spellStart"/>
      <w:r>
        <w:rPr>
          <w:lang w:val="en-GB"/>
        </w:rPr>
        <w:t>attr</w:t>
      </w:r>
      <w:proofErr w:type="spellEnd"/>
      <w:r>
        <w:rPr>
          <w:lang w:val="en-GB"/>
        </w:rPr>
        <w:t>.)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3268C7" w14:paraId="0813A79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711FDBF" w14:textId="77777777" w:rsidR="003268C7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8405BEE" w14:textId="77777777" w:rsidR="003268C7" w:rsidRDefault="003268C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3268C7" w:rsidRPr="00B20F23" w14:paraId="4BE32B0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511BF98" w14:textId="77777777" w:rsidR="003268C7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Dilexisti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iustitiam</w:t>
            </w:r>
            <w:proofErr w:type="spellEnd"/>
            <w:r>
              <w:rPr>
                <w:szCs w:val="22"/>
                <w:lang w:val="en-GB"/>
              </w:rPr>
              <w:t xml:space="preserve">, et </w:t>
            </w:r>
            <w:proofErr w:type="spellStart"/>
            <w:r>
              <w:rPr>
                <w:szCs w:val="22"/>
                <w:lang w:val="en-GB"/>
              </w:rPr>
              <w:t>odisti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iniquitatem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propterea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unxit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Deus, Deus </w:t>
            </w:r>
            <w:proofErr w:type="spellStart"/>
            <w:r>
              <w:rPr>
                <w:szCs w:val="22"/>
                <w:lang w:val="en-GB"/>
              </w:rPr>
              <w:t>tuus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4F025B3" w14:textId="77777777" w:rsidR="003268C7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Thou hast loved justice and </w:t>
            </w:r>
            <w:proofErr w:type="spellStart"/>
            <w:r>
              <w:rPr>
                <w:szCs w:val="22"/>
                <w:lang w:val="en-GB"/>
              </w:rPr>
              <w:t>hatest</w:t>
            </w:r>
            <w:proofErr w:type="spellEnd"/>
            <w:r>
              <w:rPr>
                <w:szCs w:val="22"/>
                <w:lang w:val="en-GB"/>
              </w:rPr>
              <w:t xml:space="preserve"> iniquity: therefore God, thy God, hath anointed thee.</w:t>
            </w:r>
          </w:p>
        </w:tc>
      </w:tr>
    </w:tbl>
    <w:p w14:paraId="64F7888F" w14:textId="77777777" w:rsidR="003268C7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073EB2F0" w14:textId="5B6A6650" w:rsidR="003268C7" w:rsidRDefault="00000000">
      <w:pPr>
        <w:pStyle w:val="Textkrper"/>
        <w:rPr>
          <w:sz w:val="21"/>
          <w:szCs w:val="21"/>
          <w:lang w:val="en-GB"/>
        </w:rPr>
      </w:pPr>
      <w:r w:rsidRPr="00B20F23">
        <w:rPr>
          <w:lang w:val="en-US"/>
        </w:rPr>
        <w:t xml:space="preserve">The </w:t>
      </w:r>
      <w:proofErr w:type="spellStart"/>
      <w:r w:rsidRPr="00B20F23">
        <w:rPr>
          <w:lang w:val="en-US"/>
        </w:rPr>
        <w:t>bassus</w:t>
      </w:r>
      <w:proofErr w:type="spellEnd"/>
      <w:r w:rsidRPr="00B20F23">
        <w:rPr>
          <w:lang w:val="en-US"/>
        </w:rPr>
        <w:t xml:space="preserve"> part in Senfl’s polyphonic setting is on the </w:t>
      </w:r>
      <w:proofErr w:type="spellStart"/>
      <w:r w:rsidRPr="00B20F23">
        <w:rPr>
          <w:lang w:val="en-US"/>
        </w:rPr>
        <w:t>diastematic</w:t>
      </w:r>
      <w:proofErr w:type="spellEnd"/>
      <w:r w:rsidRPr="00B20F23">
        <w:rPr>
          <w:lang w:val="en-US"/>
        </w:rPr>
        <w:t xml:space="preserve"> level largely identical to the monophonic version in the </w:t>
      </w:r>
      <w:proofErr w:type="spellStart"/>
      <w:r w:rsidRPr="00B20F23">
        <w:rPr>
          <w:i/>
          <w:iCs/>
          <w:lang w:val="en-US"/>
        </w:rPr>
        <w:t>Graduale</w:t>
      </w:r>
      <w:proofErr w:type="spellEnd"/>
      <w:r w:rsidRPr="00B20F23">
        <w:rPr>
          <w:i/>
          <w:iCs/>
          <w:lang w:val="en-US"/>
        </w:rPr>
        <w:t xml:space="preserve"> </w:t>
      </w:r>
      <w:proofErr w:type="spellStart"/>
      <w:r w:rsidRPr="00B20F23">
        <w:rPr>
          <w:i/>
          <w:iCs/>
          <w:lang w:val="en-US"/>
        </w:rPr>
        <w:t>Pataviense</w:t>
      </w:r>
      <w:proofErr w:type="spellEnd"/>
      <w:r w:rsidRPr="00B20F23">
        <w:rPr>
          <w:lang w:val="en-US"/>
        </w:rPr>
        <w:t xml:space="preserve"> (1511), fol. 168</w:t>
      </w:r>
      <w:r w:rsidRPr="00B20F23">
        <w:rPr>
          <w:vertAlign w:val="superscript"/>
          <w:lang w:val="en-US"/>
        </w:rPr>
        <w:t>r</w:t>
      </w:r>
      <w:r w:rsidRPr="00B20F23">
        <w:rPr>
          <w:lang w:val="en-US"/>
        </w:rPr>
        <w:t xml:space="preserve">, but appears transposed down a fifth. However, the version in the </w:t>
      </w:r>
      <w:proofErr w:type="spellStart"/>
      <w:r w:rsidRPr="00B20F23">
        <w:rPr>
          <w:i/>
          <w:iCs/>
          <w:lang w:val="en-US"/>
        </w:rPr>
        <w:t>Graduale</w:t>
      </w:r>
      <w:proofErr w:type="spellEnd"/>
      <w:r w:rsidRPr="00B20F23">
        <w:rPr>
          <w:i/>
          <w:iCs/>
          <w:lang w:val="en-US"/>
        </w:rPr>
        <w:t xml:space="preserve"> </w:t>
      </w:r>
      <w:proofErr w:type="spellStart"/>
      <w:r w:rsidRPr="00B20F23">
        <w:rPr>
          <w:i/>
          <w:iCs/>
          <w:lang w:val="en-US"/>
        </w:rPr>
        <w:t>Pataviense</w:t>
      </w:r>
      <w:proofErr w:type="spellEnd"/>
      <w:r w:rsidRPr="00B20F23">
        <w:rPr>
          <w:lang w:val="en-US"/>
        </w:rPr>
        <w:t xml:space="preserve"> (1511) </w:t>
      </w:r>
      <w:r w:rsidR="00B20F23">
        <w:rPr>
          <w:lang w:val="en-US"/>
        </w:rPr>
        <w:t>shows some</w:t>
      </w:r>
      <w:r w:rsidRPr="00B20F23">
        <w:rPr>
          <w:lang w:val="en-US"/>
        </w:rPr>
        <w:t xml:space="preserve"> deviations, </w:t>
      </w:r>
      <w:r w:rsidR="00B20F23">
        <w:rPr>
          <w:lang w:val="en-US"/>
        </w:rPr>
        <w:t>such as</w:t>
      </w:r>
      <w:r w:rsidRPr="00B20F23">
        <w:rPr>
          <w:lang w:val="en-US"/>
        </w:rPr>
        <w:t xml:space="preserve"> </w:t>
      </w:r>
      <w:proofErr w:type="spellStart"/>
      <w:r w:rsidRPr="00B20F23">
        <w:rPr>
          <w:lang w:val="en-US"/>
        </w:rPr>
        <w:t>melisma</w:t>
      </w:r>
      <w:r w:rsidR="00B20F23">
        <w:rPr>
          <w:lang w:val="en-US"/>
        </w:rPr>
        <w:t>s</w:t>
      </w:r>
      <w:proofErr w:type="spellEnd"/>
      <w:r w:rsidRPr="00B20F23">
        <w:rPr>
          <w:lang w:val="en-US"/>
        </w:rPr>
        <w:t xml:space="preserve"> at</w:t>
      </w:r>
      <w:proofErr w:type="spellStart"/>
      <w:r w:rsidRPr="00B20F23">
        <w:rPr>
          <w:lang w:val="en-US"/>
        </w:rPr>
        <w:t xml:space="preserve"> </w:t>
      </w:r>
      <w:proofErr w:type="spellEnd"/>
      <w:r>
        <w:rPr>
          <w:lang w:val="en-GB"/>
        </w:rPr>
        <w:t>‘(</w:t>
      </w:r>
      <w:proofErr w:type="spellStart"/>
      <w:r>
        <w:rPr>
          <w:lang w:val="en-GB"/>
        </w:rPr>
        <w:t>iu</w:t>
      </w:r>
      <w:proofErr w:type="spellEnd"/>
      <w:r>
        <w:rPr>
          <w:lang w:val="en-GB"/>
        </w:rPr>
        <w:t>)-</w:t>
      </w:r>
      <w:proofErr w:type="spellStart"/>
      <w:r>
        <w:rPr>
          <w:lang w:val="en-GB"/>
        </w:rPr>
        <w:t>sti</w:t>
      </w:r>
      <w:proofErr w:type="spellEnd"/>
      <w:r>
        <w:rPr>
          <w:lang w:val="en-GB"/>
        </w:rPr>
        <w:t>-(</w:t>
      </w:r>
      <w:proofErr w:type="spellStart"/>
      <w:r>
        <w:rPr>
          <w:lang w:val="en-GB"/>
        </w:rPr>
        <w:t>tiam</w:t>
      </w:r>
      <w:proofErr w:type="spellEnd"/>
      <w:r>
        <w:rPr>
          <w:lang w:val="en-GB"/>
        </w:rPr>
        <w:t xml:space="preserve">)’, and </w:t>
      </w:r>
      <w:r w:rsidRPr="00B20F23">
        <w:rPr>
          <w:lang w:val="en-US"/>
        </w:rPr>
        <w:t xml:space="preserve">the </w:t>
      </w:r>
      <w:r>
        <w:rPr>
          <w:lang w:val="en-GB"/>
        </w:rPr>
        <w:t>close of the intonation with a ‘fa’ (c), where Senfl sets a ‘mi’ (</w:t>
      </w:r>
      <w:r>
        <w:rPr>
          <w:i/>
          <w:iCs/>
          <w:lang w:val="en-GB"/>
        </w:rPr>
        <w:t>e</w:t>
      </w:r>
      <w:r>
        <w:rPr>
          <w:lang w:val="en-GB"/>
        </w:rPr>
        <w:t>).</w:t>
      </w:r>
    </w:p>
    <w:p w14:paraId="0B6364A0" w14:textId="77777777" w:rsidR="003268C7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t>Unique</w:t>
      </w:r>
      <w:r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3268C7" w:rsidRPr="00B20F23" w14:paraId="27DF6E43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F1813E1" w14:textId="77777777" w:rsidR="003268C7" w:rsidRDefault="00000000">
            <w:pPr>
              <w:pStyle w:val="Textkrper"/>
              <w:widowControl w:val="0"/>
              <w:rPr>
                <w:b/>
                <w:szCs w:val="22"/>
              </w:rPr>
            </w:pPr>
            <w:r>
              <w:rPr>
                <w:b/>
                <w:szCs w:val="22"/>
              </w:rPr>
              <w:t>Mun</w:t>
            </w:r>
            <w:r>
              <w:rPr>
                <w:b/>
                <w:szCs w:val="22"/>
                <w:vertAlign w:val="superscript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59BFA30F" w14:textId="5CE2FE34" w:rsidR="003268C7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36, [no. 23],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146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–148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([D, Ct, T, B]), anon.</w:t>
            </w:r>
            <w:r w:rsidR="00B20F23">
              <w:rPr>
                <w:szCs w:val="22"/>
                <w:lang w:val="en-GB"/>
              </w:rPr>
              <w:t xml:space="preserve">, heading: </w:t>
            </w:r>
            <w:r w:rsidR="00B20F23" w:rsidRPr="00B20F23">
              <w:rPr>
                <w:i/>
                <w:iCs/>
                <w:szCs w:val="22"/>
                <w:lang w:val="en-GB"/>
              </w:rPr>
              <w:t>Co</w:t>
            </w:r>
            <w:r w:rsidR="00B20F23">
              <w:rPr>
                <w:szCs w:val="22"/>
                <w:lang w:val="en-GB"/>
              </w:rPr>
              <w:t>[</w:t>
            </w:r>
            <w:proofErr w:type="spellStart"/>
            <w:r w:rsidR="00B20F23">
              <w:rPr>
                <w:i/>
                <w:iCs/>
                <w:szCs w:val="22"/>
                <w:lang w:val="en-GB"/>
              </w:rPr>
              <w:t>mmun</w:t>
            </w:r>
            <w:proofErr w:type="spellEnd"/>
            <w:r w:rsidR="00B20F23">
              <w:rPr>
                <w:szCs w:val="22"/>
                <w:lang w:val="en-GB"/>
              </w:rPr>
              <w:t>]</w:t>
            </w:r>
            <w:r w:rsidR="00B20F23" w:rsidRPr="00B20F23">
              <w:rPr>
                <w:i/>
                <w:iCs/>
                <w:szCs w:val="22"/>
                <w:lang w:val="en-GB"/>
              </w:rPr>
              <w:t>io</w:t>
            </w:r>
            <w:r w:rsidR="00B20F23" w:rsidRPr="00B20F23">
              <w:rPr>
                <w:szCs w:val="22"/>
                <w:lang w:val="en-GB"/>
              </w:rPr>
              <w:t xml:space="preserve">, </w:t>
            </w:r>
            <w:r w:rsidR="00B20F23">
              <w:rPr>
                <w:szCs w:val="22"/>
                <w:lang w:val="en-GB"/>
              </w:rPr>
              <w:t>text in all voices</w:t>
            </w:r>
          </w:p>
        </w:tc>
      </w:tr>
    </w:tbl>
    <w:p w14:paraId="4195C4D3" w14:textId="77777777" w:rsidR="003268C7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29ACAD3E" w14:textId="64A514C0" w:rsidR="003268C7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2</w:t>
      </w:r>
      <w:r>
        <w:rPr>
          <w:lang w:val="en-GB"/>
        </w:rPr>
        <w:t xml:space="preserve"> Senfl’s communion follows Heinrich Isaac’s Proper </w:t>
      </w:r>
      <w:proofErr w:type="gramStart"/>
      <w:r>
        <w:rPr>
          <w:lang w:val="en-GB"/>
        </w:rPr>
        <w:t>cycle</w:t>
      </w:r>
      <w:proofErr w:type="gramEnd"/>
      <w:r>
        <w:rPr>
          <w:lang w:val="en-GB"/>
        </w:rPr>
        <w:t xml:space="preserve"> </w:t>
      </w:r>
      <w:r>
        <w:rPr>
          <w:i/>
          <w:iCs/>
          <w:lang w:val="en-GB"/>
        </w:rPr>
        <w:t xml:space="preserve">In Festo </w:t>
      </w:r>
      <w:proofErr w:type="spellStart"/>
      <w:r>
        <w:rPr>
          <w:i/>
          <w:iCs/>
          <w:lang w:val="en-GB"/>
        </w:rPr>
        <w:t>Assumptionis</w:t>
      </w:r>
      <w:proofErr w:type="spellEnd"/>
      <w:r>
        <w:rPr>
          <w:i/>
          <w:iCs/>
          <w:lang w:val="en-GB"/>
        </w:rPr>
        <w:t xml:space="preserve">: B. M. </w:t>
      </w:r>
      <w:proofErr w:type="spellStart"/>
      <w:r>
        <w:rPr>
          <w:i/>
          <w:iCs/>
          <w:lang w:val="en-GB"/>
        </w:rPr>
        <w:t>virginis</w:t>
      </w:r>
      <w:proofErr w:type="spellEnd"/>
      <w:r>
        <w:rPr>
          <w:lang w:val="en-GB"/>
        </w:rPr>
        <w:t>, which begins on fol. 102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and consists of polyphonic settings of the </w:t>
      </w:r>
      <w:r w:rsidR="003B0B36">
        <w:rPr>
          <w:lang w:val="en-GB"/>
        </w:rPr>
        <w:t>A</w:t>
      </w:r>
      <w:r>
        <w:rPr>
          <w:lang w:val="en-GB"/>
        </w:rPr>
        <w:t xml:space="preserve">lleluia </w:t>
      </w:r>
      <w:proofErr w:type="spellStart"/>
      <w:r>
        <w:rPr>
          <w:i/>
          <w:iCs/>
          <w:lang w:val="en-GB"/>
        </w:rPr>
        <w:t>Assumpta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est</w:t>
      </w:r>
      <w:proofErr w:type="spellEnd"/>
      <w:r>
        <w:rPr>
          <w:i/>
          <w:iCs/>
          <w:lang w:val="en-GB"/>
        </w:rPr>
        <w:t xml:space="preserve"> Maria </w:t>
      </w:r>
      <w:r>
        <w:rPr>
          <w:lang w:val="en-GB"/>
        </w:rPr>
        <w:t xml:space="preserve">and </w:t>
      </w:r>
      <w:proofErr w:type="spellStart"/>
      <w:r>
        <w:rPr>
          <w:lang w:val="en-GB"/>
        </w:rPr>
        <w:t>Notker’s</w:t>
      </w:r>
      <w:proofErr w:type="spellEnd"/>
      <w:r>
        <w:rPr>
          <w:lang w:val="en-GB"/>
        </w:rPr>
        <w:t xml:space="preserve"> </w:t>
      </w:r>
      <w:r w:rsidR="003B0B36">
        <w:rPr>
          <w:lang w:val="en-GB"/>
        </w:rPr>
        <w:t>S</w:t>
      </w:r>
      <w:r>
        <w:rPr>
          <w:lang w:val="en-GB"/>
        </w:rPr>
        <w:t xml:space="preserve">equence </w:t>
      </w:r>
      <w:proofErr w:type="spellStart"/>
      <w:r>
        <w:rPr>
          <w:i/>
          <w:iCs/>
          <w:lang w:val="en-GB"/>
        </w:rPr>
        <w:t>Congaudent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angelorum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chori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(=CCIII: </w:t>
      </w:r>
      <w:r w:rsidR="00B20F23">
        <w:rPr>
          <w:lang w:val="en-GB"/>
        </w:rPr>
        <w:t>[</w:t>
      </w:r>
      <w:r>
        <w:rPr>
          <w:lang w:val="en-GB"/>
        </w:rPr>
        <w:t>420–</w:t>
      </w:r>
      <w:r w:rsidR="00B20F23">
        <w:rPr>
          <w:lang w:val="en-GB"/>
        </w:rPr>
        <w:t>28]</w:t>
      </w:r>
      <w:r>
        <w:rPr>
          <w:lang w:val="en-GB"/>
        </w:rPr>
        <w:t xml:space="preserve">). A polyphonic </w:t>
      </w:r>
      <w:r w:rsidR="003B0B36">
        <w:rPr>
          <w:lang w:val="en-GB"/>
        </w:rPr>
        <w:t>I</w:t>
      </w:r>
      <w:r>
        <w:rPr>
          <w:lang w:val="en-GB"/>
        </w:rPr>
        <w:t>ntroit, for which</w:t>
      </w:r>
      <w:r w:rsidR="003B0B36">
        <w:rPr>
          <w:lang w:val="en-GB"/>
        </w:rPr>
        <w:t>—</w:t>
      </w:r>
      <w:r>
        <w:rPr>
          <w:lang w:val="en-GB"/>
        </w:rPr>
        <w:t xml:space="preserve">according to the </w:t>
      </w:r>
      <w:proofErr w:type="spellStart"/>
      <w:r w:rsidRPr="00B20F23">
        <w:rPr>
          <w:i/>
          <w:iCs/>
          <w:lang w:val="en-US"/>
        </w:rPr>
        <w:t>Missale</w:t>
      </w:r>
      <w:proofErr w:type="spellEnd"/>
      <w:r w:rsidRPr="00B20F23">
        <w:rPr>
          <w:i/>
          <w:iCs/>
          <w:lang w:val="en-US"/>
        </w:rPr>
        <w:t xml:space="preserve"> </w:t>
      </w:r>
      <w:proofErr w:type="spellStart"/>
      <w:r w:rsidRPr="00B20F23">
        <w:rPr>
          <w:i/>
          <w:iCs/>
          <w:lang w:val="en-US"/>
        </w:rPr>
        <w:t>Frisingense</w:t>
      </w:r>
      <w:proofErr w:type="spellEnd"/>
      <w:r>
        <w:rPr>
          <w:lang w:val="en-GB"/>
        </w:rPr>
        <w:t xml:space="preserve"> 1520 (fol. 221</w:t>
      </w:r>
      <w:r>
        <w:rPr>
          <w:vertAlign w:val="superscript"/>
          <w:lang w:val="en-GB"/>
        </w:rPr>
        <w:t>r</w:t>
      </w:r>
      <w:r>
        <w:rPr>
          <w:lang w:val="en-GB"/>
        </w:rPr>
        <w:t>)</w:t>
      </w:r>
      <w:r w:rsidR="003B0B36">
        <w:rPr>
          <w:lang w:val="en-GB"/>
        </w:rPr>
        <w:t>—</w:t>
      </w:r>
      <w:proofErr w:type="spellStart"/>
      <w:r>
        <w:rPr>
          <w:i/>
          <w:iCs/>
          <w:lang w:val="en-GB"/>
        </w:rPr>
        <w:t>Vultum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tuum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deprecabuntur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</w:t>
      </w:r>
      <w:r w:rsidRPr="00B20F23">
        <w:rPr>
          <w:lang w:val="en-US"/>
        </w:rPr>
        <w:t>Ps. </w:t>
      </w:r>
      <w:proofErr w:type="spellStart"/>
      <w:r w:rsidRPr="00B20F23">
        <w:rPr>
          <w:i/>
          <w:iCs/>
          <w:lang w:val="en-US"/>
        </w:rPr>
        <w:t>Eructavit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cor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meum</w:t>
      </w:r>
      <w:proofErr w:type="spellEnd"/>
      <w:r>
        <w:rPr>
          <w:lang w:val="en-GB"/>
        </w:rPr>
        <w:t xml:space="preserve">) would have to be sung, is not noted. Such an </w:t>
      </w:r>
      <w:r w:rsidR="00B20F23">
        <w:rPr>
          <w:lang w:val="en-GB"/>
        </w:rPr>
        <w:t>I</w:t>
      </w:r>
      <w:r>
        <w:rPr>
          <w:lang w:val="en-GB"/>
        </w:rPr>
        <w:t>ntroit also existed in a setting by Heinrich Isaac (D-</w:t>
      </w:r>
      <w:proofErr w:type="spellStart"/>
      <w:r>
        <w:rPr>
          <w:lang w:val="en-GB"/>
        </w:rPr>
        <w:t>Mbs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Mus.ms.</w:t>
      </w:r>
      <w:proofErr w:type="spellEnd"/>
      <w:r>
        <w:rPr>
          <w:lang w:val="en-GB"/>
        </w:rPr>
        <w:t xml:space="preserve"> 38</w:t>
      </w:r>
      <w:r w:rsidR="00B20F23">
        <w:rPr>
          <w:lang w:val="en-GB"/>
        </w:rPr>
        <w:t xml:space="preserve">, </w:t>
      </w:r>
      <w:proofErr w:type="spellStart"/>
      <w:r w:rsidR="00B20F23">
        <w:rPr>
          <w:lang w:val="en-GB"/>
        </w:rPr>
        <w:t>fols</w:t>
      </w:r>
      <w:proofErr w:type="spellEnd"/>
      <w:r w:rsidR="00B20F23">
        <w:rPr>
          <w:lang w:val="en-GB"/>
        </w:rPr>
        <w:t>. 102</w:t>
      </w:r>
      <w:r w:rsidR="00B20F23" w:rsidRPr="00B20F23">
        <w:rPr>
          <w:vertAlign w:val="superscript"/>
          <w:lang w:val="en-GB"/>
        </w:rPr>
        <w:t>v</w:t>
      </w:r>
      <w:r w:rsidR="00B20F23">
        <w:rPr>
          <w:lang w:val="en-GB"/>
        </w:rPr>
        <w:t>–106</w:t>
      </w:r>
      <w:r w:rsidR="00B20F23" w:rsidRPr="00B20F23">
        <w:rPr>
          <w:vertAlign w:val="superscript"/>
          <w:lang w:val="en-GB"/>
        </w:rPr>
        <w:t>r</w:t>
      </w:r>
      <w:r>
        <w:rPr>
          <w:lang w:val="en-GB"/>
        </w:rPr>
        <w:t>).</w:t>
      </w:r>
    </w:p>
    <w:p w14:paraId="607EEE26" w14:textId="31F233EE" w:rsidR="003268C7" w:rsidRDefault="00000000">
      <w:pPr>
        <w:pStyle w:val="Textkrper"/>
        <w:numPr>
          <w:ilvl w:val="0"/>
          <w:numId w:val="2"/>
        </w:numPr>
        <w:rPr>
          <w:lang w:val="en-GB"/>
        </w:rPr>
      </w:pPr>
      <w:r w:rsidRPr="00B20F23">
        <w:rPr>
          <w:lang w:val="en-US"/>
        </w:rPr>
        <w:t xml:space="preserve">Due to the anonymous transmission, the </w:t>
      </w:r>
      <w:r w:rsidR="00B20F23">
        <w:rPr>
          <w:lang w:val="en-US"/>
        </w:rPr>
        <w:t>C</w:t>
      </w:r>
      <w:r w:rsidRPr="00B20F23">
        <w:rPr>
          <w:lang w:val="en-US"/>
        </w:rPr>
        <w:t xml:space="preserve">ommunion cannot be clearly identified as Senfl’s work. The setting was first attributed to the composer by Julius Joseph Maier (Maier 1879: 37). Werner Heinz (Heinz 1952: XIV), Gerhard-Rudolf </w:t>
      </w:r>
      <w:proofErr w:type="spellStart"/>
      <w:r w:rsidRPr="00B20F23">
        <w:rPr>
          <w:lang w:val="en-US"/>
        </w:rPr>
        <w:t>Pätzig</w:t>
      </w:r>
      <w:proofErr w:type="spellEnd"/>
      <w:r w:rsidRPr="00B20F23">
        <w:rPr>
          <w:lang w:val="en-US"/>
        </w:rPr>
        <w:t xml:space="preserve"> (</w:t>
      </w:r>
      <w:proofErr w:type="spellStart"/>
      <w:r w:rsidRPr="00B20F23">
        <w:rPr>
          <w:lang w:val="en-US"/>
        </w:rPr>
        <w:t>Pätzig</w:t>
      </w:r>
      <w:proofErr w:type="spellEnd"/>
      <w:r w:rsidRPr="00B20F23">
        <w:rPr>
          <w:lang w:val="en-US"/>
        </w:rPr>
        <w:t xml:space="preserve"> 1956: ii, 170), as well as Martin </w:t>
      </w:r>
      <w:proofErr w:type="spellStart"/>
      <w:r w:rsidRPr="00B20F23">
        <w:rPr>
          <w:lang w:val="en-US"/>
        </w:rPr>
        <w:t>Bente</w:t>
      </w:r>
      <w:proofErr w:type="spellEnd"/>
      <w:r w:rsidRPr="00B20F23">
        <w:rPr>
          <w:lang w:val="en-US"/>
        </w:rPr>
        <w:t xml:space="preserve"> (</w:t>
      </w:r>
      <w:proofErr w:type="spellStart"/>
      <w:r w:rsidRPr="00B20F23">
        <w:rPr>
          <w:lang w:val="en-US"/>
        </w:rPr>
        <w:t>Bente</w:t>
      </w:r>
      <w:proofErr w:type="spellEnd"/>
      <w:r w:rsidRPr="00B20F23">
        <w:rPr>
          <w:lang w:val="en-US"/>
        </w:rPr>
        <w:t xml:space="preserve"> 1968: 95–6) followed Maier’s opinion. Indeed, the analogy of the supplemented </w:t>
      </w:r>
      <w:proofErr w:type="spellStart"/>
      <w:r w:rsidRPr="00B20F23">
        <w:rPr>
          <w:i/>
          <w:iCs/>
          <w:lang w:val="en-US"/>
        </w:rPr>
        <w:t>communiones</w:t>
      </w:r>
      <w:proofErr w:type="spellEnd"/>
      <w:r w:rsidRPr="00B20F23">
        <w:rPr>
          <w:lang w:val="en-US"/>
        </w:rPr>
        <w:t xml:space="preserve"> of the Marian feasts in </w:t>
      </w:r>
      <w:proofErr w:type="spellStart"/>
      <w:r w:rsidRPr="00B20F23">
        <w:rPr>
          <w:lang w:val="en-US"/>
        </w:rPr>
        <w:t>Mus.ms.</w:t>
      </w:r>
      <w:proofErr w:type="spellEnd"/>
      <w:r w:rsidRPr="00B20F23">
        <w:rPr>
          <w:lang w:val="en-US"/>
        </w:rPr>
        <w:t xml:space="preserve"> 38 and the compilatory function of Senfl’s compositions speak for his authorship. In terms of style, the </w:t>
      </w:r>
      <w:r w:rsidR="00B20F23">
        <w:rPr>
          <w:lang w:val="en-US"/>
        </w:rPr>
        <w:t xml:space="preserve">musical </w:t>
      </w:r>
      <w:r w:rsidRPr="00B20F23">
        <w:rPr>
          <w:lang w:val="en-US"/>
        </w:rPr>
        <w:t xml:space="preserve">texture of the </w:t>
      </w:r>
      <w:r w:rsidR="00B20F23">
        <w:rPr>
          <w:lang w:val="en-US"/>
        </w:rPr>
        <w:t>C</w:t>
      </w:r>
      <w:r w:rsidRPr="00B20F23">
        <w:rPr>
          <w:lang w:val="en-US"/>
        </w:rPr>
        <w:t xml:space="preserve">ommunion is striking in that it begins with an </w:t>
      </w:r>
      <w:r w:rsidRPr="00B20F23">
        <w:rPr>
          <w:i/>
          <w:iCs/>
          <w:lang w:val="en-US"/>
        </w:rPr>
        <w:t>initium plenum</w:t>
      </w:r>
      <w:r w:rsidRPr="00B20F23">
        <w:rPr>
          <w:lang w:val="en-US"/>
        </w:rPr>
        <w:t xml:space="preserve"> (which cannot often be found in Senfl’s works) and paired imitation of upper and lower voices prevailing over a regular imitation by all voices. However, the chant melody in the </w:t>
      </w:r>
      <w:proofErr w:type="spellStart"/>
      <w:r w:rsidRPr="00B20F23">
        <w:rPr>
          <w:lang w:val="en-US"/>
        </w:rPr>
        <w:t>bassus</w:t>
      </w:r>
      <w:proofErr w:type="spellEnd"/>
      <w:r w:rsidRPr="00B20F23">
        <w:rPr>
          <w:lang w:val="en-US"/>
        </w:rPr>
        <w:t xml:space="preserve">, the close interlocking of imitation pairs and text sections, and the deliberate delimitation of the last text section ‘Deus </w:t>
      </w:r>
      <w:proofErr w:type="spellStart"/>
      <w:r w:rsidRPr="00B20F23">
        <w:rPr>
          <w:lang w:val="en-US"/>
        </w:rPr>
        <w:t>tuus</w:t>
      </w:r>
      <w:proofErr w:type="spellEnd"/>
      <w:r w:rsidRPr="00B20F23">
        <w:rPr>
          <w:lang w:val="en-US"/>
        </w:rPr>
        <w:t xml:space="preserve">’ may speak in </w:t>
      </w:r>
      <w:proofErr w:type="spellStart"/>
      <w:r w:rsidRPr="00B20F23">
        <w:rPr>
          <w:lang w:val="en-US"/>
        </w:rPr>
        <w:t>favour</w:t>
      </w:r>
      <w:proofErr w:type="spellEnd"/>
      <w:r w:rsidRPr="00B20F23">
        <w:rPr>
          <w:lang w:val="en-US"/>
        </w:rPr>
        <w:t xml:space="preserve"> of this composition being an authentic composition by Senfl (see Gasch 2013: 127).</w:t>
      </w:r>
    </w:p>
    <w:sectPr w:rsidR="003268C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50BD"/>
    <w:multiLevelType w:val="multilevel"/>
    <w:tmpl w:val="4066FD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D909BB"/>
    <w:multiLevelType w:val="multilevel"/>
    <w:tmpl w:val="DCD698C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C83237"/>
    <w:multiLevelType w:val="multilevel"/>
    <w:tmpl w:val="3DB4B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06409269">
    <w:abstractNumId w:val="0"/>
  </w:num>
  <w:num w:numId="2" w16cid:durableId="1800102238">
    <w:abstractNumId w:val="1"/>
  </w:num>
  <w:num w:numId="3" w16cid:durableId="1481001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8C7"/>
    <w:rsid w:val="003268C7"/>
    <w:rsid w:val="003B0B36"/>
    <w:rsid w:val="00B2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BC3D43"/>
  <w15:docId w15:val="{E13B9F6B-AF9D-C747-9424-421F8103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15</cp:revision>
  <cp:lastPrinted>2019-11-13T09:44:00Z</cp:lastPrinted>
  <dcterms:created xsi:type="dcterms:W3CDTF">2023-03-15T09:13:00Z</dcterms:created>
  <dcterms:modified xsi:type="dcterms:W3CDTF">2023-12-04T16:30:00Z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